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57"/>
        <w:jc w:val="center"/>
        <w:rPr>
          <w:rFonts w:cs="黑体" w:asciiTheme="majorEastAsia" w:hAnsiTheme="majorEastAsia" w:eastAsiaTheme="majorEastAsia"/>
          <w:b/>
          <w:color w:val="000000"/>
          <w:sz w:val="48"/>
          <w:szCs w:val="48"/>
        </w:rPr>
      </w:pPr>
      <w:r>
        <w:rPr>
          <w:rFonts w:hint="eastAsia" w:cs="黑体" w:asciiTheme="majorEastAsia" w:hAnsiTheme="majorEastAsia" w:eastAsiaTheme="majorEastAsia"/>
          <w:b/>
          <w:color w:val="000000"/>
          <w:sz w:val="48"/>
          <w:szCs w:val="48"/>
        </w:rPr>
        <w:t>广东省揭阳市综合中等专业学校</w:t>
      </w:r>
    </w:p>
    <w:p>
      <w:pPr>
        <w:ind w:firstLine="2512" w:firstLineChars="695"/>
        <w:rPr>
          <w:rFonts w:hint="eastAsia" w:ascii="黑体" w:hAnsi="黑体" w:eastAsia="黑体" w:cs="黑体"/>
          <w:b/>
          <w:bCs/>
          <w:sz w:val="36"/>
          <w:szCs w:val="36"/>
        </w:rPr>
      </w:pPr>
      <w:r>
        <w:rPr>
          <w:rFonts w:hint="eastAsia" w:ascii="Arial" w:hAnsi="Arial" w:eastAsia="黑体" w:cs="Arial"/>
          <w:b/>
          <w:bCs/>
          <w:color w:val="000000"/>
          <w:sz w:val="36"/>
          <w:szCs w:val="36"/>
        </w:rPr>
        <w:t>戏曲表演</w:t>
      </w:r>
      <w:r>
        <w:rPr>
          <w:rFonts w:hint="eastAsia" w:ascii="黑体" w:hAnsi="黑体" w:eastAsia="黑体" w:cs="黑体"/>
          <w:b/>
          <w:bCs/>
          <w:sz w:val="36"/>
          <w:szCs w:val="36"/>
        </w:rPr>
        <w:t>专业人才培养方案</w:t>
      </w:r>
    </w:p>
    <w:p>
      <w:pPr>
        <w:jc w:val="center"/>
        <w:rPr>
          <w:rFonts w:hint="eastAsia" w:ascii="黑体" w:hAnsi="黑体" w:eastAsia="黑体" w:cs="黑体"/>
          <w:b/>
          <w:bCs/>
          <w:sz w:val="36"/>
          <w:szCs w:val="36"/>
        </w:rPr>
      </w:pPr>
      <w:r>
        <w:rPr>
          <w:rFonts w:hint="eastAsia" w:ascii="黑体" w:hAnsi="黑体" w:eastAsia="黑体"/>
          <w:color w:val="000000"/>
          <w:sz w:val="29"/>
          <w:szCs w:val="29"/>
        </w:rPr>
        <w:t>―――――</w:t>
      </w:r>
      <w:r>
        <w:rPr>
          <w:rFonts w:hint="eastAsia" w:ascii="方正小标宋简体" w:eastAsia="方正小标宋简体"/>
          <w:color w:val="000000"/>
          <w:sz w:val="30"/>
          <w:szCs w:val="30"/>
          <w:lang w:val="en-US" w:eastAsia="zh-CN"/>
        </w:rPr>
        <w:t>潮剧表演方向</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一、专业名称及代码</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专业名称：</w:t>
      </w:r>
      <w:r>
        <w:rPr>
          <w:rFonts w:hint="eastAsia" w:asciiTheme="minorEastAsia" w:hAnsiTheme="minorEastAsia" w:eastAsiaTheme="minorEastAsia"/>
          <w:color w:val="000000"/>
          <w:sz w:val="28"/>
          <w:szCs w:val="28"/>
        </w:rPr>
        <w:t>戏曲表演</w:t>
      </w:r>
      <w:r>
        <w:rPr>
          <w:rFonts w:hint="eastAsia" w:ascii="Calibri" w:hAnsi="Calibri" w:eastAsia="宋体" w:cs="黑体"/>
          <w:color w:val="000000"/>
          <w:sz w:val="28"/>
          <w:szCs w:val="28"/>
        </w:rPr>
        <w:t xml:space="preserve">   </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专业代码：141000</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二、入学要求</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初中毕业生或具有同等学力者。</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三、修业年限</w:t>
      </w:r>
    </w:p>
    <w:p>
      <w:pPr>
        <w:spacing w:line="440" w:lineRule="exact"/>
        <w:ind w:firstLine="560" w:firstLineChars="200"/>
        <w:jc w:val="left"/>
        <w:rPr>
          <w:rFonts w:ascii="Calibri" w:hAnsi="Calibri" w:eastAsia="宋体" w:cs="黑体"/>
          <w:color w:val="000000"/>
          <w:sz w:val="28"/>
          <w:szCs w:val="28"/>
        </w:rPr>
      </w:pPr>
      <w:r>
        <w:rPr>
          <w:rFonts w:hint="eastAsia" w:ascii="Calibri" w:hAnsi="Calibri" w:eastAsia="宋体" w:cs="黑体"/>
          <w:color w:val="000000"/>
          <w:sz w:val="28"/>
          <w:szCs w:val="28"/>
        </w:rPr>
        <w:t>三年。可以根据学生灵活学习需求合理、弹性安排学习时间。</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四、职业面向</w:t>
      </w:r>
    </w:p>
    <w:tbl>
      <w:tblPr>
        <w:tblStyle w:val="11"/>
        <w:tblW w:w="486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4"/>
        <w:gridCol w:w="7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pct"/>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主要就业行业</w:t>
            </w:r>
          </w:p>
        </w:tc>
        <w:tc>
          <w:tcPr>
            <w:tcW w:w="3912" w:type="pct"/>
            <w:vAlign w:val="center"/>
          </w:tcPr>
          <w:p>
            <w:pPr>
              <w:widowControl/>
              <w:spacing w:line="520" w:lineRule="exact"/>
              <w:jc w:val="center"/>
              <w:rPr>
                <w:rFonts w:ascii="宋体" w:hAnsi="Calibri" w:eastAsia="宋体" w:cs="宋体"/>
                <w:color w:val="000000"/>
                <w:kern w:val="0"/>
                <w:sz w:val="24"/>
                <w:szCs w:val="24"/>
              </w:rPr>
            </w:pPr>
            <w:r>
              <w:rPr>
                <w:rFonts w:cs="Arial" w:asciiTheme="minorEastAsia" w:hAnsiTheme="minorEastAsia" w:eastAsiaTheme="minorEastAsia"/>
                <w:kern w:val="0"/>
                <w:sz w:val="28"/>
                <w:szCs w:val="28"/>
              </w:rPr>
              <w:t>戏曲表演、教学以及艺术策划、管理与指导工作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pct"/>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主要就业部门</w:t>
            </w:r>
          </w:p>
        </w:tc>
        <w:tc>
          <w:tcPr>
            <w:tcW w:w="3912" w:type="pct"/>
            <w:vAlign w:val="center"/>
          </w:tcPr>
          <w:p>
            <w:pPr>
              <w:widowControl/>
              <w:spacing w:line="520" w:lineRule="exact"/>
              <w:jc w:val="center"/>
              <w:rPr>
                <w:rFonts w:ascii="宋体" w:hAnsi="Calibri" w:eastAsia="宋体" w:cs="宋体"/>
                <w:color w:val="000000"/>
                <w:kern w:val="0"/>
                <w:sz w:val="24"/>
                <w:szCs w:val="24"/>
              </w:rPr>
            </w:pPr>
            <w:r>
              <w:rPr>
                <w:rFonts w:cs="Arial" w:asciiTheme="minorEastAsia" w:hAnsiTheme="minorEastAsia" w:eastAsiaTheme="minorEastAsia"/>
                <w:kern w:val="0"/>
                <w:sz w:val="28"/>
                <w:szCs w:val="28"/>
              </w:rPr>
              <w:t>专业文艺团体</w:t>
            </w:r>
            <w:r>
              <w:rPr>
                <w:rFonts w:hint="eastAsia" w:cs="Arial" w:asciiTheme="minorEastAsia" w:hAnsiTheme="minorEastAsia" w:eastAsiaTheme="minorEastAsia"/>
                <w:kern w:val="0"/>
                <w:sz w:val="28"/>
                <w:szCs w:val="28"/>
              </w:rPr>
              <w:t>、潮剧团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pct"/>
            <w:vAlign w:val="center"/>
          </w:tcPr>
          <w:p>
            <w:pPr>
              <w:widowControl/>
              <w:spacing w:line="520" w:lineRule="exact"/>
              <w:jc w:val="center"/>
              <w:rPr>
                <w:rFonts w:ascii="宋体" w:hAnsi="Calibri" w:eastAsia="宋体" w:cs="宋体"/>
                <w:b/>
                <w:bCs/>
                <w:color w:val="000000"/>
                <w:kern w:val="0"/>
                <w:sz w:val="24"/>
                <w:szCs w:val="24"/>
              </w:rPr>
            </w:pPr>
            <w:r>
              <w:rPr>
                <w:rFonts w:hint="eastAsia" w:ascii="宋体" w:hAnsi="宋体" w:eastAsia="宋体" w:cs="宋体"/>
                <w:b/>
                <w:bCs/>
                <w:color w:val="000000"/>
                <w:kern w:val="0"/>
                <w:sz w:val="24"/>
                <w:szCs w:val="24"/>
              </w:rPr>
              <w:t>初次就业岗位</w:t>
            </w:r>
          </w:p>
        </w:tc>
        <w:tc>
          <w:tcPr>
            <w:tcW w:w="3912" w:type="pct"/>
            <w:vAlign w:val="center"/>
          </w:tcPr>
          <w:p>
            <w:pPr>
              <w:widowControl/>
              <w:spacing w:line="520" w:lineRule="exact"/>
              <w:jc w:val="center"/>
              <w:rPr>
                <w:rFonts w:ascii="宋体" w:hAnsi="宋体" w:eastAsia="宋体" w:cs="黑体"/>
                <w:color w:val="000000"/>
                <w:sz w:val="24"/>
                <w:szCs w:val="24"/>
              </w:rPr>
            </w:pPr>
            <w:r>
              <w:rPr>
                <w:rFonts w:cs="Arial" w:asciiTheme="minorEastAsia" w:hAnsiTheme="minorEastAsia" w:eastAsiaTheme="minorEastAsia"/>
                <w:kern w:val="0"/>
                <w:sz w:val="28"/>
                <w:szCs w:val="28"/>
              </w:rPr>
              <w:t>专业文艺团体</w:t>
            </w:r>
            <w:r>
              <w:rPr>
                <w:rFonts w:hint="eastAsia" w:cs="Arial" w:asciiTheme="minorEastAsia" w:hAnsiTheme="minorEastAsia" w:eastAsiaTheme="minorEastAsia"/>
                <w:kern w:val="0"/>
                <w:sz w:val="28"/>
                <w:szCs w:val="28"/>
              </w:rPr>
              <w:t>、潮剧团、</w:t>
            </w:r>
            <w:r>
              <w:rPr>
                <w:rFonts w:cs="Arial" w:asciiTheme="minorEastAsia" w:hAnsiTheme="minorEastAsia" w:eastAsiaTheme="minorEastAsia"/>
                <w:kern w:val="0"/>
                <w:sz w:val="28"/>
                <w:szCs w:val="28"/>
              </w:rPr>
              <w:t>企事业单位</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五、培养目标与培养规格</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（一）培养目标</w:t>
      </w:r>
    </w:p>
    <w:p>
      <w:pPr>
        <w:widowControl/>
        <w:spacing w:line="480" w:lineRule="exact"/>
        <w:ind w:firstLine="560" w:firstLineChars="200"/>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本专业培养德、智、体、美全面发展，具有良好的职业道德和敬业精神，学生应在掌握本专业必备的</w:t>
      </w:r>
      <w:r>
        <w:rPr>
          <w:rFonts w:hint="eastAsia" w:cs="Arial" w:asciiTheme="minorEastAsia" w:hAnsiTheme="minorEastAsia" w:eastAsiaTheme="minorEastAsia"/>
          <w:kern w:val="0"/>
          <w:sz w:val="28"/>
          <w:szCs w:val="28"/>
        </w:rPr>
        <w:t>专业</w:t>
      </w:r>
      <w:r>
        <w:rPr>
          <w:rFonts w:cs="Arial" w:asciiTheme="minorEastAsia" w:hAnsiTheme="minorEastAsia" w:eastAsiaTheme="minorEastAsia"/>
          <w:kern w:val="0"/>
          <w:sz w:val="28"/>
          <w:szCs w:val="28"/>
        </w:rPr>
        <w:t>知识和</w:t>
      </w:r>
      <w:r>
        <w:rPr>
          <w:rFonts w:hint="eastAsia" w:cs="Arial" w:asciiTheme="minorEastAsia" w:hAnsiTheme="minorEastAsia" w:eastAsiaTheme="minorEastAsia"/>
          <w:kern w:val="0"/>
          <w:sz w:val="28"/>
          <w:szCs w:val="28"/>
        </w:rPr>
        <w:t>艺术理论</w:t>
      </w:r>
      <w:r>
        <w:rPr>
          <w:rFonts w:cs="Arial" w:asciiTheme="minorEastAsia" w:hAnsiTheme="minorEastAsia" w:eastAsiaTheme="minorEastAsia"/>
          <w:kern w:val="0"/>
          <w:sz w:val="28"/>
          <w:szCs w:val="28"/>
        </w:rPr>
        <w:t>的基础上，重点掌握从事本专业领域</w:t>
      </w:r>
      <w:r>
        <w:rPr>
          <w:rFonts w:hint="eastAsia" w:cs="Arial" w:asciiTheme="minorEastAsia" w:hAnsiTheme="minorEastAsia" w:eastAsiaTheme="minorEastAsia"/>
          <w:kern w:val="0"/>
          <w:sz w:val="28"/>
          <w:szCs w:val="28"/>
        </w:rPr>
        <w:t>舞台实践</w:t>
      </w:r>
      <w:r>
        <w:rPr>
          <w:rFonts w:cs="Arial" w:asciiTheme="minorEastAsia" w:hAnsiTheme="minorEastAsia" w:eastAsiaTheme="minorEastAsia"/>
          <w:kern w:val="0"/>
          <w:sz w:val="28"/>
          <w:szCs w:val="28"/>
        </w:rPr>
        <w:t>能力，能在社会文化机构、专业文艺团体、企事业单位从事戏曲表演、教学以及艺术策划、编导、管理与指导工作的</w:t>
      </w:r>
      <w:r>
        <w:rPr>
          <w:rFonts w:hint="eastAsia" w:cs="Arial" w:asciiTheme="minorEastAsia" w:hAnsiTheme="minorEastAsia" w:eastAsiaTheme="minorEastAsia"/>
          <w:kern w:val="0"/>
          <w:sz w:val="28"/>
          <w:szCs w:val="28"/>
        </w:rPr>
        <w:t>实</w:t>
      </w:r>
      <w:r>
        <w:rPr>
          <w:rFonts w:cs="Arial" w:asciiTheme="minorEastAsia" w:hAnsiTheme="minorEastAsia" w:eastAsiaTheme="minorEastAsia"/>
          <w:kern w:val="0"/>
          <w:sz w:val="28"/>
          <w:szCs w:val="28"/>
        </w:rPr>
        <w:t>用型人才。</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（二）培养规格</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1、能力要求</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1"/>
        <w:gridCol w:w="3390"/>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1" w:type="pct"/>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专业能力</w:t>
            </w:r>
          </w:p>
        </w:tc>
        <w:tc>
          <w:tcPr>
            <w:tcW w:w="1836" w:type="pct"/>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社会能力</w:t>
            </w:r>
          </w:p>
        </w:tc>
        <w:tc>
          <w:tcPr>
            <w:tcW w:w="1332" w:type="pct"/>
          </w:tcPr>
          <w:p>
            <w:pPr>
              <w:spacing w:line="440" w:lineRule="exact"/>
              <w:jc w:val="center"/>
              <w:rPr>
                <w:rFonts w:ascii="宋体" w:hAnsi="Calibri" w:eastAsia="宋体" w:cs="黑体"/>
                <w:b/>
                <w:bCs/>
                <w:color w:val="000000"/>
                <w:sz w:val="24"/>
                <w:szCs w:val="24"/>
              </w:rPr>
            </w:pPr>
            <w:r>
              <w:rPr>
                <w:rFonts w:hint="eastAsia" w:ascii="宋体" w:hAnsi="宋体" w:eastAsia="宋体" w:cs="黑体"/>
                <w:b/>
                <w:bCs/>
                <w:color w:val="000000"/>
                <w:sz w:val="24"/>
                <w:szCs w:val="24"/>
              </w:rPr>
              <w:t>方法能力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831" w:type="pct"/>
          </w:tcPr>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（1）具有较强的</w:t>
            </w:r>
            <w:r>
              <w:rPr>
                <w:rFonts w:hint="eastAsia" w:cs="Arial" w:asciiTheme="minorEastAsia" w:hAnsiTheme="minorEastAsia" w:eastAsiaTheme="minorEastAsia"/>
                <w:kern w:val="0"/>
                <w:sz w:val="24"/>
                <w:szCs w:val="24"/>
              </w:rPr>
              <w:t>专业表演</w:t>
            </w:r>
            <w:r>
              <w:rPr>
                <w:rFonts w:cs="Arial" w:asciiTheme="minorEastAsia" w:hAnsiTheme="minorEastAsia" w:eastAsiaTheme="minorEastAsia"/>
                <w:kern w:val="0"/>
                <w:sz w:val="24"/>
                <w:szCs w:val="24"/>
              </w:rPr>
              <w:t>能力；</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（2）具有较强的</w:t>
            </w:r>
            <w:r>
              <w:rPr>
                <w:rFonts w:hint="eastAsia" w:cs="Arial" w:asciiTheme="minorEastAsia" w:hAnsiTheme="minorEastAsia" w:eastAsiaTheme="minorEastAsia"/>
                <w:kern w:val="0"/>
                <w:sz w:val="24"/>
                <w:szCs w:val="24"/>
              </w:rPr>
              <w:t>舞台</w:t>
            </w:r>
            <w:r>
              <w:rPr>
                <w:rFonts w:cs="Arial" w:asciiTheme="minorEastAsia" w:hAnsiTheme="minorEastAsia" w:eastAsiaTheme="minorEastAsia"/>
                <w:kern w:val="0"/>
                <w:sz w:val="24"/>
                <w:szCs w:val="24"/>
              </w:rPr>
              <w:t>表演能力；</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（3）具有一定的艺术活动组织和</w:t>
            </w:r>
            <w:r>
              <w:rPr>
                <w:rFonts w:hint="eastAsia" w:cs="Arial" w:asciiTheme="minorEastAsia" w:hAnsiTheme="minorEastAsia" w:eastAsiaTheme="minorEastAsia"/>
                <w:kern w:val="0"/>
                <w:sz w:val="24"/>
                <w:szCs w:val="24"/>
              </w:rPr>
              <w:t>指</w:t>
            </w:r>
            <w:r>
              <w:rPr>
                <w:rFonts w:cs="Arial" w:asciiTheme="minorEastAsia" w:hAnsiTheme="minorEastAsia" w:eastAsiaTheme="minorEastAsia"/>
                <w:kern w:val="0"/>
                <w:sz w:val="24"/>
                <w:szCs w:val="24"/>
              </w:rPr>
              <w:t>导能力；</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（4）具有正确的艺术审美观念和较强的艺术鉴赏能力；</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5</w:t>
            </w:r>
            <w:r>
              <w:rPr>
                <w:rFonts w:cs="Arial" w:asciiTheme="minorEastAsia" w:hAnsiTheme="minorEastAsia" w:eastAsiaTheme="minorEastAsia"/>
                <w:kern w:val="0"/>
                <w:sz w:val="24"/>
                <w:szCs w:val="24"/>
              </w:rPr>
              <w:t>）</w:t>
            </w:r>
            <w:r>
              <w:rPr>
                <w:rFonts w:ascii="宋体" w:hAnsi="宋体" w:eastAsia="宋体" w:cs="Arial"/>
                <w:kern w:val="0"/>
                <w:sz w:val="24"/>
                <w:szCs w:val="24"/>
              </w:rPr>
              <w:t>具有较强的创新意识和创造能力；</w:t>
            </w:r>
            <w:r>
              <w:rPr>
                <w:rFonts w:cs="Arial" w:asciiTheme="minorEastAsia" w:hAnsiTheme="minorEastAsia" w:eastAsiaTheme="minorEastAsia"/>
                <w:kern w:val="0"/>
                <w:sz w:val="24"/>
                <w:szCs w:val="24"/>
              </w:rPr>
              <w:t xml:space="preserve"> </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6</w:t>
            </w:r>
            <w:r>
              <w:rPr>
                <w:rFonts w:cs="Arial" w:asciiTheme="minorEastAsia" w:hAnsiTheme="minorEastAsia" w:eastAsiaTheme="minorEastAsia"/>
                <w:kern w:val="0"/>
                <w:sz w:val="24"/>
                <w:szCs w:val="24"/>
              </w:rPr>
              <w:t>）熟悉党和国家的文艺方针、政策和法规；</w:t>
            </w:r>
          </w:p>
          <w:p>
            <w:pPr>
              <w:autoSpaceDN w:val="0"/>
              <w:spacing w:line="480" w:lineRule="exact"/>
              <w:rPr>
                <w:rFonts w:cs="Arial" w:asciiTheme="minorEastAsia" w:hAnsiTheme="minorEastAsia" w:eastAsiaTheme="minorEastAsia"/>
                <w:kern w:val="0"/>
                <w:sz w:val="24"/>
                <w:szCs w:val="24"/>
              </w:rPr>
            </w:pPr>
            <w:r>
              <w:rPr>
                <w:rFonts w:cs="Arial" w:asciiTheme="minorEastAsia" w:hAnsiTheme="minorEastAsia" w:eastAsiaTheme="minorEastAsia"/>
                <w:kern w:val="0"/>
                <w:sz w:val="24"/>
                <w:szCs w:val="24"/>
              </w:rPr>
              <w:t>（</w:t>
            </w:r>
            <w:r>
              <w:rPr>
                <w:rFonts w:hint="eastAsia" w:cs="Arial" w:asciiTheme="minorEastAsia" w:hAnsiTheme="minorEastAsia" w:eastAsiaTheme="minorEastAsia"/>
                <w:kern w:val="0"/>
                <w:sz w:val="24"/>
                <w:szCs w:val="24"/>
              </w:rPr>
              <w:t>7</w:t>
            </w:r>
            <w:r>
              <w:rPr>
                <w:rFonts w:cs="Arial" w:asciiTheme="minorEastAsia" w:hAnsiTheme="minorEastAsia" w:eastAsiaTheme="minorEastAsia"/>
                <w:kern w:val="0"/>
                <w:sz w:val="24"/>
                <w:szCs w:val="24"/>
              </w:rPr>
              <w:t>）了解</w:t>
            </w:r>
            <w:r>
              <w:rPr>
                <w:rFonts w:hint="eastAsia" w:cs="Arial" w:asciiTheme="minorEastAsia" w:hAnsiTheme="minorEastAsia" w:eastAsiaTheme="minorEastAsia"/>
                <w:kern w:val="0"/>
                <w:sz w:val="24"/>
                <w:szCs w:val="24"/>
              </w:rPr>
              <w:t>戏曲表演</w:t>
            </w:r>
            <w:r>
              <w:rPr>
                <w:rFonts w:cs="Arial" w:asciiTheme="minorEastAsia" w:hAnsiTheme="minorEastAsia" w:eastAsiaTheme="minorEastAsia"/>
                <w:kern w:val="0"/>
                <w:sz w:val="24"/>
                <w:szCs w:val="24"/>
              </w:rPr>
              <w:t>艺术领域的发展动态及发展趋势</w:t>
            </w:r>
            <w:r>
              <w:rPr>
                <w:rFonts w:hint="eastAsia" w:cs="Arial" w:asciiTheme="minorEastAsia" w:hAnsiTheme="minorEastAsia" w:eastAsiaTheme="minorEastAsia"/>
                <w:kern w:val="0"/>
                <w:sz w:val="24"/>
                <w:szCs w:val="24"/>
              </w:rPr>
              <w:t>。</w:t>
            </w:r>
          </w:p>
          <w:p>
            <w:pPr>
              <w:autoSpaceDN w:val="0"/>
              <w:spacing w:line="480" w:lineRule="exact"/>
              <w:rPr>
                <w:rFonts w:cs="Arial" w:asciiTheme="minorEastAsia" w:hAnsiTheme="minorEastAsia" w:eastAsiaTheme="minorEastAsia"/>
                <w:kern w:val="0"/>
                <w:sz w:val="24"/>
                <w:szCs w:val="24"/>
              </w:rPr>
            </w:pPr>
          </w:p>
        </w:tc>
        <w:tc>
          <w:tcPr>
            <w:tcW w:w="1836" w:type="pct"/>
          </w:tcPr>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1.</w:t>
            </w:r>
            <w:r>
              <w:rPr>
                <w:rFonts w:hint="eastAsia" w:ascii="宋体" w:hAnsi="宋体" w:eastAsia="宋体" w:cs="黑体"/>
                <w:color w:val="000000"/>
                <w:sz w:val="24"/>
                <w:szCs w:val="24"/>
              </w:rPr>
              <w:t>具有正确的世界观、人生观、价值观和良好的职业道德；</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2.</w:t>
            </w:r>
            <w:r>
              <w:rPr>
                <w:rFonts w:hint="eastAsia" w:ascii="宋体" w:hAnsi="宋体" w:eastAsia="宋体" w:cs="黑体"/>
                <w:color w:val="000000"/>
                <w:sz w:val="24"/>
                <w:szCs w:val="24"/>
              </w:rPr>
              <w:t>有严谨认真的工作作风和行为习惯；</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有团队协作精神、吃苦精神、奉献精神和创新精神；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热爱专业，有较强的事业心和奉献精神；</w:t>
            </w:r>
          </w:p>
          <w:p>
            <w:pPr>
              <w:spacing w:line="360" w:lineRule="auto"/>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5.</w:t>
            </w:r>
            <w:r>
              <w:rPr>
                <w:rFonts w:hint="eastAsia" w:ascii="宋体" w:hAnsi="宋体" w:eastAsia="宋体" w:cs="黑体"/>
                <w:color w:val="000000"/>
                <w:sz w:val="24"/>
                <w:szCs w:val="24"/>
              </w:rPr>
              <w:t>具有健康的心理状态，有较强的意志和毅力；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6.</w:t>
            </w:r>
            <w:r>
              <w:rPr>
                <w:rFonts w:hint="eastAsia" w:ascii="宋体" w:hAnsi="宋体" w:eastAsia="宋体" w:cs="黑体"/>
                <w:color w:val="000000"/>
                <w:sz w:val="24"/>
                <w:szCs w:val="24"/>
              </w:rPr>
              <w:t>勤奋刻苦，进取心强，具有长远的理想和奋斗目标。</w:t>
            </w:r>
          </w:p>
        </w:tc>
        <w:tc>
          <w:tcPr>
            <w:tcW w:w="1332" w:type="pct"/>
          </w:tcPr>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1.自学与创新能力和较强的敬业精神；</w:t>
            </w:r>
          </w:p>
          <w:p>
            <w:pPr>
              <w:spacing w:line="440" w:lineRule="exact"/>
              <w:ind w:firstLine="240" w:firstLineChars="100"/>
              <w:jc w:val="left"/>
              <w:rPr>
                <w:rFonts w:ascii="宋体" w:hAnsi="Calibri" w:eastAsia="宋体" w:cs="黑体"/>
                <w:color w:val="000000"/>
                <w:sz w:val="24"/>
                <w:szCs w:val="24"/>
              </w:rPr>
            </w:pPr>
            <w:r>
              <w:rPr>
                <w:rFonts w:hint="eastAsia" w:ascii="宋体" w:hAnsi="宋体" w:eastAsia="宋体" w:cs="黑体"/>
                <w:color w:val="000000"/>
                <w:sz w:val="24"/>
                <w:szCs w:val="24"/>
              </w:rPr>
              <w:t>2.任务执行能力；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3.</w:t>
            </w:r>
            <w:r>
              <w:rPr>
                <w:rFonts w:hint="eastAsia" w:ascii="宋体" w:hAnsi="宋体" w:eastAsia="宋体" w:cs="黑体"/>
                <w:color w:val="000000"/>
                <w:sz w:val="24"/>
                <w:szCs w:val="24"/>
              </w:rPr>
              <w:t>团队协作能力；</w:t>
            </w:r>
          </w:p>
          <w:p>
            <w:pPr>
              <w:spacing w:line="440" w:lineRule="exact"/>
              <w:ind w:firstLine="240" w:firstLineChars="100"/>
              <w:jc w:val="left"/>
              <w:rPr>
                <w:rFonts w:ascii="宋体" w:hAnsi="Calibri" w:eastAsia="宋体" w:cs="黑体"/>
                <w:color w:val="000000"/>
                <w:sz w:val="24"/>
                <w:szCs w:val="24"/>
              </w:rPr>
            </w:pPr>
            <w:r>
              <w:rPr>
                <w:rFonts w:ascii="宋体" w:hAnsi="宋体" w:eastAsia="宋体" w:cs="黑体"/>
                <w:color w:val="000000"/>
                <w:sz w:val="24"/>
                <w:szCs w:val="24"/>
              </w:rPr>
              <w:t>4.</w:t>
            </w:r>
            <w:r>
              <w:rPr>
                <w:rFonts w:hint="eastAsia" w:ascii="宋体" w:hAnsi="宋体" w:eastAsia="宋体" w:cs="黑体"/>
                <w:color w:val="000000"/>
                <w:sz w:val="24"/>
                <w:szCs w:val="24"/>
              </w:rPr>
              <w:t>戏曲表演能力和持续发展能力。</w:t>
            </w:r>
          </w:p>
        </w:tc>
      </w:tr>
    </w:tbl>
    <w:p>
      <w:pPr>
        <w:spacing w:before="156" w:beforeLines="50" w:after="156" w:afterLines="50" w:line="440" w:lineRule="exact"/>
        <w:jc w:val="left"/>
        <w:outlineLvl w:val="0"/>
        <w:rPr>
          <w:rFonts w:ascii="Calibri" w:hAnsi="Calibri" w:eastAsia="黑体" w:cs="黑体"/>
          <w:b/>
          <w:bCs/>
          <w:color w:val="000000"/>
          <w:sz w:val="28"/>
          <w:szCs w:val="28"/>
        </w:rPr>
      </w:pP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2、能力结构与证书要求</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bCs/>
          <w:sz w:val="28"/>
          <w:szCs w:val="28"/>
        </w:rPr>
        <w:t>通过对音乐、舞蹈等艺术方面工作的调研，</w:t>
      </w:r>
      <w:r>
        <w:rPr>
          <w:rFonts w:hint="eastAsia" w:asciiTheme="minorEastAsia" w:hAnsiTheme="minorEastAsia" w:eastAsiaTheme="minorEastAsia"/>
          <w:sz w:val="28"/>
          <w:szCs w:val="28"/>
        </w:rPr>
        <w:t>对本专业人才工作任务和职业能力进行了分析，形成了表演艺术专业工作任务与职业能力分解表：</w:t>
      </w:r>
    </w:p>
    <w:p>
      <w:pPr>
        <w:spacing w:line="440" w:lineRule="exact"/>
        <w:ind w:firstLine="560" w:firstLineChars="20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戏曲表演专业人才工作任务和职业能力分析表</w:t>
      </w:r>
    </w:p>
    <w:tbl>
      <w:tblPr>
        <w:tblStyle w:val="11"/>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00"/>
        <w:gridCol w:w="162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shd w:val="clear" w:color="auto" w:fill="FFFFFF"/>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岗位</w:t>
            </w:r>
          </w:p>
        </w:tc>
        <w:tc>
          <w:tcPr>
            <w:tcW w:w="1800" w:type="dxa"/>
            <w:shd w:val="clear" w:color="auto" w:fill="FFFFFF"/>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任务</w:t>
            </w:r>
          </w:p>
        </w:tc>
        <w:tc>
          <w:tcPr>
            <w:tcW w:w="1620" w:type="dxa"/>
            <w:shd w:val="clear" w:color="auto" w:fill="FFFFFF"/>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技能</w:t>
            </w:r>
          </w:p>
        </w:tc>
        <w:tc>
          <w:tcPr>
            <w:tcW w:w="1440" w:type="dxa"/>
            <w:shd w:val="clear" w:color="auto" w:fill="FFFFFF"/>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对应课程</w:t>
            </w:r>
          </w:p>
        </w:tc>
        <w:tc>
          <w:tcPr>
            <w:tcW w:w="2160" w:type="dxa"/>
            <w:shd w:val="clear" w:color="auto" w:fill="FFFFFF"/>
          </w:tcPr>
          <w:p>
            <w:pPr>
              <w:spacing w:line="440" w:lineRule="exact"/>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对应证书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zh-CN"/>
              </w:rPr>
              <w:t>各地区文化馆、电视台、各社区、街道文化站、企事业单位等艺术文化工作者</w:t>
            </w:r>
          </w:p>
        </w:tc>
        <w:tc>
          <w:tcPr>
            <w:tcW w:w="180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艺术宣传工作、组织和策划艺术类的活动</w:t>
            </w:r>
          </w:p>
        </w:tc>
        <w:tc>
          <w:tcPr>
            <w:tcW w:w="162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宣传能力、组织和策划能力</w:t>
            </w:r>
          </w:p>
        </w:tc>
        <w:tc>
          <w:tcPr>
            <w:tcW w:w="1440" w:type="dxa"/>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主持艺术</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艺术欣赏</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舞蹈表演</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合唱与指挥</w:t>
            </w:r>
          </w:p>
        </w:tc>
        <w:tc>
          <w:tcPr>
            <w:tcW w:w="2160" w:type="dxa"/>
            <w:vMerge w:val="restart"/>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普通话二级乙等以上</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省计算机一级证书</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教师资格证</w:t>
            </w: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艺术类考级证书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zh-CN"/>
              </w:rPr>
              <w:t>独唱、合唱、舞蹈演员</w:t>
            </w:r>
          </w:p>
        </w:tc>
        <w:tc>
          <w:tcPr>
            <w:tcW w:w="180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根据演出需要，突出自己的特长</w:t>
            </w:r>
          </w:p>
        </w:tc>
        <w:tc>
          <w:tcPr>
            <w:tcW w:w="1620" w:type="dxa"/>
            <w:vAlign w:val="center"/>
          </w:tcPr>
          <w:p>
            <w:pPr>
              <w:spacing w:line="440" w:lineRule="exact"/>
              <w:rPr>
                <w:rFonts w:asciiTheme="minorEastAsia" w:hAnsiTheme="minorEastAsia" w:eastAsiaTheme="minorEastAsia"/>
                <w:sz w:val="28"/>
                <w:szCs w:val="28"/>
                <w:lang w:val="nl-NL"/>
              </w:rPr>
            </w:pPr>
            <w:r>
              <w:rPr>
                <w:rFonts w:hint="eastAsia" w:asciiTheme="minorEastAsia" w:hAnsiTheme="minorEastAsia" w:eastAsiaTheme="minorEastAsia"/>
                <w:sz w:val="28"/>
                <w:szCs w:val="28"/>
                <w:lang w:val="nl-NL"/>
              </w:rPr>
              <w:t>声乐表演和舞台表演的技能技巧</w:t>
            </w:r>
          </w:p>
        </w:tc>
        <w:tc>
          <w:tcPr>
            <w:tcW w:w="1440" w:type="dxa"/>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声乐基础</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舞蹈基础</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舞蹈表演</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舞台实践</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形体课</w:t>
            </w:r>
          </w:p>
        </w:tc>
        <w:tc>
          <w:tcPr>
            <w:tcW w:w="2160" w:type="dxa"/>
            <w:vMerge w:val="continue"/>
          </w:tcPr>
          <w:p>
            <w:pPr>
              <w:spacing w:line="44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kern w:val="0"/>
                <w:sz w:val="28"/>
                <w:szCs w:val="28"/>
              </w:rPr>
              <w:t>面向企事业单位、社区等艺术服务培训人员</w:t>
            </w:r>
          </w:p>
        </w:tc>
        <w:tc>
          <w:tcPr>
            <w:tcW w:w="1800" w:type="dxa"/>
            <w:vAlign w:val="center"/>
          </w:tcPr>
          <w:p>
            <w:pPr>
              <w:widowControl/>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艺术宣传工作、艺术培训工作、艺术服务工作</w:t>
            </w:r>
          </w:p>
        </w:tc>
        <w:tc>
          <w:tcPr>
            <w:tcW w:w="162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kern w:val="0"/>
                <w:sz w:val="28"/>
                <w:szCs w:val="28"/>
              </w:rPr>
              <w:t>了解企业文化、组织开展艺术类的各项活动，为单位社区人员进行艺术类的各项培训</w:t>
            </w:r>
          </w:p>
        </w:tc>
        <w:tc>
          <w:tcPr>
            <w:tcW w:w="1440" w:type="dxa"/>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艺术欣赏</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主持艺术</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化妆造型</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合唱与指挥</w:t>
            </w:r>
          </w:p>
        </w:tc>
        <w:tc>
          <w:tcPr>
            <w:tcW w:w="2160" w:type="dxa"/>
            <w:vMerge w:val="continue"/>
          </w:tcPr>
          <w:p>
            <w:pPr>
              <w:spacing w:line="440" w:lineRule="exact"/>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48"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kern w:val="0"/>
                <w:sz w:val="28"/>
                <w:szCs w:val="28"/>
              </w:rPr>
              <w:t>各级各类学校、艺术辅导班指导老师</w:t>
            </w:r>
          </w:p>
        </w:tc>
        <w:tc>
          <w:tcPr>
            <w:tcW w:w="180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培养艺术类人才</w:t>
            </w:r>
          </w:p>
        </w:tc>
        <w:tc>
          <w:tcPr>
            <w:tcW w:w="1620" w:type="dxa"/>
            <w:vAlign w:val="center"/>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艺术教学能力、艺术组织能力、自我提高，不断创新的能力</w:t>
            </w:r>
          </w:p>
        </w:tc>
        <w:tc>
          <w:tcPr>
            <w:tcW w:w="1440" w:type="dxa"/>
          </w:tcPr>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舞蹈表演</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声乐基础</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乐理</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视唱练耳</w:t>
            </w:r>
          </w:p>
          <w:p>
            <w:pPr>
              <w:spacing w:line="440" w:lineRule="exact"/>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钢琴基础</w:t>
            </w:r>
          </w:p>
          <w:p>
            <w:pPr>
              <w:spacing w:line="440" w:lineRule="exact"/>
              <w:rPr>
                <w:rFonts w:asciiTheme="minorEastAsia" w:hAnsiTheme="minorEastAsia" w:eastAsiaTheme="minorEastAsia"/>
                <w:sz w:val="28"/>
                <w:szCs w:val="28"/>
              </w:rPr>
            </w:pPr>
            <w:r>
              <w:rPr>
                <w:rFonts w:hint="eastAsia" w:asciiTheme="minorEastAsia" w:hAnsiTheme="minorEastAsia" w:eastAsiaTheme="minorEastAsia"/>
                <w:kern w:val="0"/>
                <w:sz w:val="28"/>
                <w:szCs w:val="28"/>
              </w:rPr>
              <w:t>器乐</w:t>
            </w:r>
          </w:p>
        </w:tc>
        <w:tc>
          <w:tcPr>
            <w:tcW w:w="2160" w:type="dxa"/>
            <w:vMerge w:val="continue"/>
          </w:tcPr>
          <w:p>
            <w:pPr>
              <w:spacing w:line="440" w:lineRule="exact"/>
              <w:rPr>
                <w:rFonts w:asciiTheme="minorEastAsia" w:hAnsiTheme="minorEastAsia" w:eastAsiaTheme="minorEastAsia"/>
                <w:sz w:val="28"/>
                <w:szCs w:val="28"/>
              </w:rPr>
            </w:pP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六、课程设置及要求</w:t>
      </w:r>
      <w:r>
        <w:rPr>
          <w:rFonts w:hint="eastAsia" w:ascii="Calibri" w:hAnsi="Calibri" w:eastAsia="黑体" w:cs="黑体"/>
          <w:color w:val="000000"/>
          <w:sz w:val="28"/>
          <w:szCs w:val="28"/>
        </w:rPr>
        <w:t>（每学期按20周计算）</w:t>
      </w:r>
    </w:p>
    <w:p>
      <w:pPr>
        <w:widowControl/>
        <w:spacing w:line="440" w:lineRule="exact"/>
        <w:ind w:firstLine="562" w:firstLineChars="200"/>
        <w:rPr>
          <w:rFonts w:cs="楷体" w:asciiTheme="minorEastAsia" w:hAnsiTheme="minorEastAsia" w:eastAsiaTheme="minorEastAsia"/>
          <w:bCs/>
          <w:sz w:val="28"/>
          <w:szCs w:val="28"/>
        </w:rPr>
      </w:pPr>
      <w:r>
        <w:rPr>
          <w:rFonts w:hint="eastAsia" w:cs="Arial" w:asciiTheme="minorEastAsia" w:hAnsiTheme="minorEastAsia" w:eastAsiaTheme="minorEastAsia"/>
          <w:b/>
          <w:kern w:val="0"/>
          <w:sz w:val="28"/>
          <w:szCs w:val="28"/>
        </w:rPr>
        <w:t>(一)公共基础课程介绍</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1、语文</w:t>
      </w:r>
    </w:p>
    <w:p>
      <w:pPr>
        <w:pStyle w:val="6"/>
        <w:spacing w:after="0" w:line="440" w:lineRule="exact"/>
        <w:ind w:left="0" w:leftChars="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初中语文的基础上，进一步加强现代文和文言文阅读训练，提高学生阅读现代文和浅易文言文的能力；加强文学作品阅读教学，培养学生欣赏文学作品的能力；加强写作和口语交际训练，提高学生应用文写作能力和日常口语交际水平。通过课内外的教学活动，使学生进一步巩固和扩展必需的语文基础知识，养成自学和运用语文的良好习惯，接受优秀文化熏陶，形成高尚的审美情趣。</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2、数学</w:t>
      </w:r>
    </w:p>
    <w:p>
      <w:pPr>
        <w:pStyle w:val="3"/>
        <w:spacing w:after="0" w:line="440" w:lineRule="exact"/>
        <w:ind w:left="0" w:leftChars="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初中数学的基础上，进一步学习数学的基础知识。必学与限定选学内容：集合与逻辑用语、不等式、函数、指数函数与对数函数、任意角的三角函数、数列与数列极限、向量、复数、解析几何、立体几何、排列与组合、概率与统计初步。选学内容：极限与导数、导数的应用、积分及其应用、统计。通过教学，提高学生的数学素养，培养学生的基本运算、基本计算工具使用、数形结合、逻辑思维和简单实际应用等能力，为学习专业课打下基础。</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3、英语</w:t>
      </w:r>
    </w:p>
    <w:p>
      <w:pPr>
        <w:pStyle w:val="3"/>
        <w:spacing w:after="0" w:line="440" w:lineRule="exact"/>
        <w:ind w:left="0" w:leftChars="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初中英语的基础上，巩固、扩展学生的基础词汇和基础语法；培养学生听、说、读、写的基本技能和运用英语进行交际的能力；使学生能听懂简单对话和短文，能围绕日常话题进行初步交际，能读懂简单应用文，能模拟套写语篇及简单应用文；提高学生自主学习和继续学习的能力，并为学习专门用途英语打下基础。</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4、计算机应用基础</w:t>
      </w:r>
    </w:p>
    <w:p>
      <w:pPr>
        <w:pStyle w:val="40"/>
        <w:spacing w:line="440" w:lineRule="exact"/>
        <w:ind w:firstLine="552" w:firstLineChars="200"/>
        <w:rPr>
          <w:rFonts w:asciiTheme="minorEastAsia" w:hAnsiTheme="minorEastAsia" w:eastAsiaTheme="minorEastAsia"/>
          <w:spacing w:val="-2"/>
          <w:sz w:val="28"/>
          <w:szCs w:val="28"/>
        </w:rPr>
      </w:pPr>
      <w:r>
        <w:rPr>
          <w:rFonts w:hint="eastAsia" w:asciiTheme="minorEastAsia" w:hAnsiTheme="minorEastAsia" w:eastAsiaTheme="minorEastAsia"/>
          <w:spacing w:val="-2"/>
          <w:sz w:val="28"/>
          <w:szCs w:val="28"/>
        </w:rPr>
        <w:t>在初中相关课程的基础上，进一步学习</w:t>
      </w:r>
      <w:r>
        <w:rPr>
          <w:rFonts w:hint="eastAsia" w:asciiTheme="minorEastAsia" w:hAnsiTheme="minorEastAsia" w:eastAsiaTheme="minorEastAsia"/>
          <w:sz w:val="28"/>
          <w:szCs w:val="28"/>
        </w:rPr>
        <w:t>信息技术</w:t>
      </w:r>
      <w:r>
        <w:rPr>
          <w:rFonts w:hint="eastAsia" w:asciiTheme="minorEastAsia" w:hAnsiTheme="minorEastAsia" w:eastAsiaTheme="minorEastAsia"/>
          <w:spacing w:val="-2"/>
          <w:sz w:val="28"/>
          <w:szCs w:val="28"/>
        </w:rPr>
        <w:t>的基础知识、常用操作系统的使用、文字处理软件的使用、计算机网络的基本操作和使用，掌握计算机操作的基本技能，</w:t>
      </w:r>
      <w:r>
        <w:rPr>
          <w:rFonts w:hint="eastAsia" w:asciiTheme="minorEastAsia" w:hAnsiTheme="minorEastAsia" w:eastAsiaTheme="minorEastAsia"/>
          <w:sz w:val="28"/>
          <w:szCs w:val="28"/>
        </w:rPr>
        <w:t>使学生</w:t>
      </w:r>
      <w:r>
        <w:rPr>
          <w:rFonts w:hint="eastAsia" w:asciiTheme="minorEastAsia" w:hAnsiTheme="minorEastAsia" w:eastAsiaTheme="minorEastAsia"/>
          <w:spacing w:val="-2"/>
          <w:sz w:val="28"/>
          <w:szCs w:val="28"/>
        </w:rPr>
        <w:t>具有一定的文字处理能力，数据处理能力，信息获取、整理、加工能力，网上交互能力，为以后的学习和工作打下基础。</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5、职业生涯规划</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课程是中等职业学校学生必修的一门德育课程，旨在对学生进行职业道德教育与职业指导。其任务是：使学生了解职业、职业素质、职业道德、职业个性、职业选择、职业理想的基本知识与要求，树立正确的职业理想；掌握职业道德基本规范，以及职业道德行为养成的途径，陶冶高尚的职业道德情操；形成依法就业、竞争上岗等符合时代要求的观念；学会依据社会发展、职业需求和个人特点进行职业生涯设计的方法；增强自主择业、立业创业的自觉性。</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6、经济政治与生活</w:t>
      </w:r>
    </w:p>
    <w:p>
      <w:pPr>
        <w:pStyle w:val="3"/>
        <w:spacing w:after="0" w:line="440" w:lineRule="exact"/>
        <w:ind w:left="0" w:leftChars="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课程是中等职业学校学生必修的一门德育课程。其任务是：根据马克思主义经济和政治学说的基本观点，以邓小平理论为指导，对学生进行经济和政治基础知识的教育。引导学生正确分析常见的社会经济、政治现象，提高参与社会经济、政治活动的能力，为在今后的职业活动中，积极投身社会主义经济建设、积极参与社会主义民主政治建设打下基础。</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7、职业道德与法律</w:t>
      </w:r>
    </w:p>
    <w:p>
      <w:pPr>
        <w:spacing w:line="440" w:lineRule="exact"/>
        <w:ind w:firstLine="552" w:firstLineChars="200"/>
        <w:rPr>
          <w:rFonts w:asciiTheme="minorEastAsia" w:hAnsiTheme="minorEastAsia" w:eastAsiaTheme="minorEastAsia"/>
          <w:spacing w:val="-2"/>
          <w:sz w:val="28"/>
          <w:szCs w:val="28"/>
        </w:rPr>
      </w:pPr>
      <w:r>
        <w:rPr>
          <w:rFonts w:hint="eastAsia" w:asciiTheme="minorEastAsia" w:hAnsiTheme="minorEastAsia" w:eastAsiaTheme="minorEastAsia"/>
          <w:spacing w:val="-2"/>
          <w:sz w:val="28"/>
          <w:szCs w:val="28"/>
        </w:rPr>
        <w:t>本课程是中等职业学校学生必修的一门德育课程，指在对学生进行法律基础知识教育。其主要任务是：使学生了解宪法、行政法、民法、经济法、刑法、诉讼法中与学生关系密切的有关法律基本知识，初步做到知法、懂法，增强法律意识，树立法制观念,提高辨别是非的能力；指导学生提高对有关法律问题的理解能力，对是与非的分析判断能力，以及依法律己、依法做事、依法维护权益、依法同违法行为做斗争的实践能力，成为具有较高法律素质的公民。</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8、哲学与人生</w:t>
      </w:r>
    </w:p>
    <w:p>
      <w:pPr>
        <w:pStyle w:val="3"/>
        <w:spacing w:after="0" w:line="440" w:lineRule="exact"/>
        <w:ind w:left="0" w:leftChars="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使学生了解马克思主义哲学与人生、职业发展的密切关系，提高学生用马克思主义哲学的基本观点、方法分析和解决人生发展和职业发展中重要问题的能力，引导学生进行正确的价值判断和行为选择，形成积极向上的人生态度，为人生与职业的健康发展奠定思想基础。</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9、体育与健康 </w:t>
      </w:r>
    </w:p>
    <w:p>
      <w:pPr>
        <w:spacing w:line="440" w:lineRule="exact"/>
        <w:ind w:firstLine="552" w:firstLineChars="200"/>
        <w:rPr>
          <w:rFonts w:asciiTheme="minorEastAsia" w:hAnsiTheme="minorEastAsia" w:eastAsiaTheme="minorEastAsia"/>
          <w:spacing w:val="-2"/>
          <w:sz w:val="28"/>
          <w:szCs w:val="28"/>
        </w:rPr>
      </w:pPr>
      <w:r>
        <w:rPr>
          <w:rFonts w:hint="eastAsia" w:asciiTheme="minorEastAsia" w:hAnsiTheme="minorEastAsia" w:eastAsiaTheme="minorEastAsia"/>
          <w:spacing w:val="-2"/>
          <w:sz w:val="28"/>
          <w:szCs w:val="28"/>
        </w:rPr>
        <w:t>在初中相关课程的基础上，进一步学习体育与卫生保健的基础知识和运动技能,掌握科学锻炼和娱乐休闲的基本方法，养成自觉锻炼的习惯；培养自主锻炼、自我保健、自我评价和自我调控的意识，全面提高身心素质和社会适应能力，为终身锻炼、继续学习与创业立业奠定基础。</w:t>
      </w:r>
    </w:p>
    <w:p>
      <w:pPr>
        <w:widowControl/>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(二)专业核心课程介绍</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1.</w:t>
      </w:r>
      <w:r>
        <w:rPr>
          <w:rFonts w:cs="Arial" w:asciiTheme="minorEastAsia" w:hAnsiTheme="minorEastAsia" w:eastAsiaTheme="minorEastAsia"/>
          <w:b/>
          <w:kern w:val="0"/>
          <w:sz w:val="28"/>
          <w:szCs w:val="28"/>
        </w:rPr>
        <w:t>声乐</w:t>
      </w:r>
    </w:p>
    <w:p>
      <w:pPr>
        <w:spacing w:line="440" w:lineRule="exact"/>
        <w:ind w:firstLine="560" w:firstLineChars="200"/>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通过本课程的学习，使学生较系统的了解</w:t>
      </w:r>
      <w:r>
        <w:rPr>
          <w:rFonts w:hint="eastAsia" w:cs="Arial" w:asciiTheme="minorEastAsia" w:hAnsiTheme="minorEastAsia" w:eastAsiaTheme="minorEastAsia"/>
          <w:kern w:val="0"/>
          <w:sz w:val="28"/>
          <w:szCs w:val="28"/>
        </w:rPr>
        <w:t>声音训练</w:t>
      </w:r>
      <w:r>
        <w:rPr>
          <w:rFonts w:cs="Arial" w:asciiTheme="minorEastAsia" w:hAnsiTheme="minorEastAsia" w:eastAsiaTheme="minorEastAsia"/>
          <w:kern w:val="0"/>
          <w:sz w:val="28"/>
          <w:szCs w:val="28"/>
        </w:rPr>
        <w:t>，掌握基本的声腔用气方法和演唱技巧。</w:t>
      </w:r>
    </w:p>
    <w:p>
      <w:pPr>
        <w:spacing w:line="440" w:lineRule="exact"/>
        <w:ind w:firstLine="562" w:firstLineChars="200"/>
        <w:rPr>
          <w:rFonts w:cs="Arial" w:asciiTheme="minorEastAsia" w:hAnsiTheme="minorEastAsia" w:eastAsiaTheme="minorEastAsia"/>
          <w:kern w:val="0"/>
          <w:sz w:val="28"/>
          <w:szCs w:val="28"/>
        </w:rPr>
      </w:pPr>
      <w:r>
        <w:rPr>
          <w:rFonts w:hint="eastAsia" w:cs="Arial" w:asciiTheme="minorEastAsia" w:hAnsiTheme="minorEastAsia" w:eastAsiaTheme="minorEastAsia"/>
          <w:b/>
          <w:kern w:val="0"/>
          <w:sz w:val="28"/>
          <w:szCs w:val="28"/>
        </w:rPr>
        <w:t>2.</w:t>
      </w:r>
      <w:r>
        <w:rPr>
          <w:rFonts w:cs="Arial" w:asciiTheme="minorEastAsia" w:hAnsiTheme="minorEastAsia" w:eastAsiaTheme="minorEastAsia"/>
          <w:b/>
          <w:kern w:val="0"/>
          <w:sz w:val="28"/>
          <w:szCs w:val="28"/>
        </w:rPr>
        <w:t>唱腔念白</w:t>
      </w:r>
    </w:p>
    <w:p>
      <w:pPr>
        <w:spacing w:line="440" w:lineRule="exact"/>
        <w:ind w:firstLine="560" w:firstLineChars="200"/>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通过本课程的学习</w:t>
      </w:r>
      <w:r>
        <w:rPr>
          <w:rFonts w:hint="eastAsia" w:cs="Arial" w:asciiTheme="minorEastAsia" w:hAnsiTheme="minorEastAsia" w:eastAsiaTheme="minorEastAsia"/>
          <w:kern w:val="0"/>
          <w:sz w:val="28"/>
          <w:szCs w:val="28"/>
        </w:rPr>
        <w:t>,</w:t>
      </w:r>
      <w:r>
        <w:rPr>
          <w:rFonts w:cs="Arial" w:asciiTheme="minorEastAsia" w:hAnsiTheme="minorEastAsia" w:eastAsiaTheme="minorEastAsia"/>
          <w:kern w:val="0"/>
          <w:sz w:val="28"/>
          <w:szCs w:val="28"/>
        </w:rPr>
        <w:t>使学生掌握唱念的发声方法和用气技巧，在演唱中做到字正腔圆、声情并茂。</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3.中国戏曲艺术</w:t>
      </w:r>
    </w:p>
    <w:p>
      <w:pPr>
        <w:spacing w:line="440" w:lineRule="exact"/>
        <w:ind w:firstLine="560" w:firstLineChars="200"/>
        <w:rPr>
          <w:rFonts w:cs="宋体" w:asciiTheme="minorEastAsia" w:hAnsiTheme="minorEastAsia" w:eastAsiaTheme="minorEastAsia"/>
          <w:kern w:val="0"/>
          <w:sz w:val="28"/>
          <w:szCs w:val="28"/>
        </w:rPr>
      </w:pPr>
      <w:r>
        <w:rPr>
          <w:rFonts w:cs="宋体" w:asciiTheme="minorEastAsia" w:hAnsiTheme="minorEastAsia" w:eastAsiaTheme="minorEastAsia"/>
          <w:kern w:val="0"/>
          <w:sz w:val="28"/>
          <w:szCs w:val="28"/>
        </w:rPr>
        <w:t>本课程概述戏曲舞台呈现的独特形式及其蕴涵的艺术精神，传授基本知识，培养欣赏能力，进而对某些实践中提出的艺术课题和争鸣热点加以研讨。使学生得以提高自身的艺术素养，了解民众的审美趣味，为进一步学习戏曲戏剧理论打下基础。</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4.中国戏曲史</w:t>
      </w:r>
    </w:p>
    <w:p>
      <w:pPr>
        <w:widowControl/>
        <w:spacing w:line="440" w:lineRule="exact"/>
        <w:ind w:firstLine="560" w:firstLineChars="200"/>
        <w:rPr>
          <w:rFonts w:asciiTheme="minorEastAsia" w:hAnsiTheme="minorEastAsia" w:eastAsiaTheme="minorEastAsia"/>
          <w:sz w:val="28"/>
          <w:szCs w:val="28"/>
        </w:rPr>
      </w:pPr>
      <w:r>
        <w:rPr>
          <w:rFonts w:cs="Arial" w:asciiTheme="minorEastAsia" w:hAnsiTheme="minorEastAsia" w:eastAsiaTheme="minorEastAsia"/>
          <w:kern w:val="0"/>
          <w:sz w:val="28"/>
          <w:szCs w:val="28"/>
        </w:rPr>
        <w:t>通过本课程的学习</w:t>
      </w:r>
      <w:r>
        <w:rPr>
          <w:rFonts w:hint="eastAsia" w:cs="Arial" w:asciiTheme="minorEastAsia" w:hAnsiTheme="minorEastAsia" w:eastAsiaTheme="minorEastAsia"/>
          <w:kern w:val="0"/>
          <w:sz w:val="28"/>
          <w:szCs w:val="28"/>
        </w:rPr>
        <w:t>,</w:t>
      </w:r>
      <w:r>
        <w:rPr>
          <w:rFonts w:asciiTheme="minorEastAsia" w:hAnsiTheme="minorEastAsia" w:eastAsiaTheme="minorEastAsia"/>
          <w:sz w:val="28"/>
          <w:szCs w:val="28"/>
        </w:rPr>
        <w:t>使学生了解戏曲发展历史和戏曲发展的基本规律。提高学生中国文化素质，树立创造现代戏曲和中国现代文化的信心，为学生进行戏曲理论研究和创作</w:t>
      </w:r>
      <w:r>
        <w:rPr>
          <w:rFonts w:hint="eastAsia" w:asciiTheme="minorEastAsia" w:hAnsiTheme="minorEastAsia" w:eastAsiaTheme="minorEastAsia"/>
          <w:sz w:val="28"/>
          <w:szCs w:val="28"/>
        </w:rPr>
        <w:t>提供</w:t>
      </w:r>
      <w:r>
        <w:rPr>
          <w:rFonts w:asciiTheme="minorEastAsia" w:hAnsiTheme="minorEastAsia" w:eastAsiaTheme="minorEastAsia"/>
          <w:sz w:val="28"/>
          <w:szCs w:val="28"/>
        </w:rPr>
        <w:t>必要的准备。</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5.戏剧表演基础</w:t>
      </w:r>
    </w:p>
    <w:p>
      <w:pPr>
        <w:spacing w:line="440" w:lineRule="exact"/>
        <w:ind w:firstLine="560" w:firstLineChars="200"/>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通过本课程的学习，使学生掌握基本的表演知识和表演方法，能够熟练运用表演技巧，提高学生在舞台上的展现能力，为就业打下良好基础。</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6.毯子功（</w:t>
      </w:r>
      <w:r>
        <w:rPr>
          <w:rFonts w:cs="Arial" w:asciiTheme="minorEastAsia" w:hAnsiTheme="minorEastAsia" w:eastAsiaTheme="minorEastAsia"/>
          <w:b/>
          <w:kern w:val="0"/>
          <w:sz w:val="28"/>
          <w:szCs w:val="28"/>
        </w:rPr>
        <w:t>基、武、身、把</w:t>
      </w:r>
      <w:r>
        <w:rPr>
          <w:rFonts w:hint="eastAsia" w:cs="Arial" w:asciiTheme="minorEastAsia" w:hAnsiTheme="minorEastAsia" w:eastAsiaTheme="minorEastAsia"/>
          <w:b/>
          <w:kern w:val="0"/>
          <w:sz w:val="28"/>
          <w:szCs w:val="28"/>
        </w:rPr>
        <w:t>）</w:t>
      </w:r>
    </w:p>
    <w:p>
      <w:pPr>
        <w:spacing w:line="440" w:lineRule="exact"/>
        <w:ind w:firstLine="560" w:firstLineChars="200"/>
        <w:rPr>
          <w:rFonts w:cs="Arial" w:asciiTheme="minorEastAsia" w:hAnsiTheme="minorEastAsia" w:eastAsiaTheme="minorEastAsia"/>
          <w:kern w:val="0"/>
          <w:sz w:val="28"/>
          <w:szCs w:val="28"/>
        </w:rPr>
      </w:pPr>
      <w:r>
        <w:rPr>
          <w:rFonts w:cs="Arial" w:asciiTheme="minorEastAsia" w:hAnsiTheme="minorEastAsia" w:eastAsiaTheme="minorEastAsia"/>
          <w:kern w:val="0"/>
          <w:sz w:val="28"/>
          <w:szCs w:val="28"/>
        </w:rPr>
        <w:t>通过基本功训练，使学生掌握基本功的训练方法，在实践训练过程中提高学生的表演技能。</w:t>
      </w:r>
    </w:p>
    <w:p>
      <w:pPr>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7.形体</w:t>
      </w:r>
    </w:p>
    <w:p>
      <w:pPr>
        <w:spacing w:line="440" w:lineRule="exact"/>
        <w:ind w:firstLine="560" w:firstLineChars="200"/>
        <w:rPr>
          <w:rFonts w:cs="Arial" w:asciiTheme="minorEastAsia" w:hAnsiTheme="minorEastAsia" w:eastAsiaTheme="minorEastAsia"/>
          <w:kern w:val="0"/>
          <w:sz w:val="28"/>
          <w:szCs w:val="28"/>
        </w:rPr>
      </w:pPr>
      <w:r>
        <w:rPr>
          <w:rFonts w:cs="宋体" w:asciiTheme="minorEastAsia" w:hAnsiTheme="minorEastAsia" w:eastAsiaTheme="minorEastAsia"/>
          <w:kern w:val="0"/>
          <w:sz w:val="28"/>
          <w:szCs w:val="28"/>
        </w:rPr>
        <w:t>通过讲授和训练，使学生能够熟悉自身形体控制要领，基本掌握各种形体的舞台表现技能，领悟和加强形体的可塑性和表现力, 从而</w:t>
      </w:r>
      <w:r>
        <w:rPr>
          <w:rFonts w:hint="eastAsia" w:cs="宋体" w:asciiTheme="minorEastAsia" w:hAnsiTheme="minorEastAsia" w:eastAsiaTheme="minorEastAsia"/>
          <w:kern w:val="0"/>
          <w:sz w:val="28"/>
          <w:szCs w:val="28"/>
        </w:rPr>
        <w:t>更好的运用到舞台实践中</w:t>
      </w:r>
      <w:r>
        <w:rPr>
          <w:rFonts w:cs="宋体" w:asciiTheme="minorEastAsia" w:hAnsiTheme="minorEastAsia" w:eastAsiaTheme="minorEastAsia"/>
          <w:kern w:val="0"/>
          <w:sz w:val="28"/>
          <w:szCs w:val="28"/>
        </w:rPr>
        <w:t>。</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8.演员艺术语言基本技巧</w:t>
      </w:r>
    </w:p>
    <w:p>
      <w:pPr>
        <w:pStyle w:val="42"/>
        <w:spacing w:line="440" w:lineRule="exact"/>
        <w:ind w:firstLine="560"/>
        <w:rPr>
          <w:rFonts w:asciiTheme="minorEastAsia" w:hAnsiTheme="minorEastAsia" w:eastAsiaTheme="minorEastAsia"/>
          <w:sz w:val="28"/>
          <w:szCs w:val="28"/>
        </w:rPr>
      </w:pPr>
      <w:r>
        <w:rPr>
          <w:rFonts w:hint="eastAsia" w:asciiTheme="minorEastAsia" w:hAnsiTheme="minorEastAsia" w:eastAsiaTheme="minorEastAsia"/>
          <w:sz w:val="28"/>
          <w:szCs w:val="28"/>
        </w:rPr>
        <w:t>本</w:t>
      </w:r>
      <w:r>
        <w:rPr>
          <w:rFonts w:asciiTheme="minorEastAsia" w:hAnsiTheme="minorEastAsia" w:eastAsiaTheme="minorEastAsia"/>
          <w:sz w:val="28"/>
          <w:szCs w:val="28"/>
        </w:rPr>
        <w:t>课程本着“了解应知着重应会”的方式施教利用戏剧、影视、播音员教学训练手段结合戏曲念白掌握舞台语言的运用技巧与处理方法使其能更好地塑造人物创作舞台形象。</w:t>
      </w:r>
    </w:p>
    <w:p>
      <w:pPr>
        <w:widowControl/>
        <w:spacing w:line="440" w:lineRule="exact"/>
        <w:ind w:firstLine="281" w:firstLineChars="1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 xml:space="preserve"> (三)专业方向课</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1.戏曲表演概论 </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通过学习这门课程,培养学生创造戏曲角色的能力,掌握戏曲角色创造的基本规律,具体程序和方法,把握戏曲人物性格的内何,能够独立的进行戏曲人物的塑造. </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 xml:space="preserve">2.舞台表演艺术  </w:t>
      </w:r>
    </w:p>
    <w:p>
      <w:pPr>
        <w:spacing w:line="440" w:lineRule="exact"/>
        <w:ind w:firstLine="560" w:firstLineChars="200"/>
        <w:rPr>
          <w:rStyle w:val="14"/>
          <w:rFonts w:asciiTheme="minorEastAsia" w:hAnsiTheme="minorEastAsia" w:eastAsiaTheme="minorEastAsia"/>
          <w:sz w:val="28"/>
          <w:szCs w:val="28"/>
        </w:rPr>
      </w:pPr>
      <w:r>
        <w:rPr>
          <w:rFonts w:hint="eastAsia" w:asciiTheme="minorEastAsia" w:hAnsiTheme="minorEastAsia" w:eastAsiaTheme="minorEastAsia"/>
          <w:sz w:val="28"/>
          <w:szCs w:val="28"/>
        </w:rPr>
        <w:t xml:space="preserve">本课程是声乐技能与技巧和表演课的拓展课程，将从舞台演出站姿站位要领、舞台演出的注意事项等方面入手指导学生，并根据学生的实际情况培养学生的创新能力和舞台表现力，使学生掌握基本的舞台演出知识以及节目的编排能力。 </w:t>
      </w:r>
    </w:p>
    <w:p>
      <w:pPr>
        <w:widowControl/>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(四)专业选修课</w:t>
      </w:r>
    </w:p>
    <w:p>
      <w:pPr>
        <w:spacing w:line="44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1.化妆造型</w:t>
      </w:r>
    </w:p>
    <w:p>
      <w:pPr>
        <w:spacing w:line="4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通过本课程理论教学、课堂操作等教学手法，使学生基本掌握各类化妆用品及工具的性能特点，能准确选择合适妆面造型与发型、服饰相配合，同时学会个性化造型。</w:t>
      </w:r>
    </w:p>
    <w:p>
      <w:pPr>
        <w:spacing w:before="124" w:beforeLines="40" w:after="124" w:afterLines="40" w:line="440" w:lineRule="exact"/>
        <w:ind w:firstLine="562" w:firstLineChars="20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 xml:space="preserve">七、教学进程总体安排 </w:t>
      </w:r>
    </w:p>
    <w:p>
      <w:pPr>
        <w:widowControl/>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 xml:space="preserve">(一)教学时间分配表 </w:t>
      </w:r>
    </w:p>
    <w:p>
      <w:pPr>
        <w:pStyle w:val="43"/>
        <w:spacing w:line="440" w:lineRule="exact"/>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 xml:space="preserve">                                    </w:t>
      </w:r>
    </w:p>
    <w:p>
      <w:pPr>
        <w:pStyle w:val="43"/>
        <w:spacing w:line="440" w:lineRule="exact"/>
        <w:ind w:firstLine="3213" w:firstLineChars="1524"/>
        <w:jc w:val="both"/>
        <w:rPr>
          <w:rFonts w:cs="黑体" w:asciiTheme="minorEastAsia" w:hAnsiTheme="minorEastAsia" w:eastAsiaTheme="minorEastAsia"/>
          <w:b/>
          <w:sz w:val="21"/>
          <w:szCs w:val="21"/>
        </w:rPr>
      </w:pPr>
      <w:r>
        <w:rPr>
          <w:rFonts w:hint="eastAsia" w:cs="黑体" w:asciiTheme="minorEastAsia" w:hAnsiTheme="minorEastAsia" w:eastAsiaTheme="minorEastAsia"/>
          <w:b/>
          <w:sz w:val="21"/>
          <w:szCs w:val="21"/>
        </w:rPr>
        <w:t xml:space="preserve">戏曲表演专业教学进度表 </w:t>
      </w:r>
      <w:r>
        <w:rPr>
          <w:rFonts w:hint="eastAsia" w:cs="黑体" w:asciiTheme="minorEastAsia" w:hAnsiTheme="minorEastAsia" w:eastAsiaTheme="minorEastAsia"/>
          <w:b/>
          <w:sz w:val="21"/>
          <w:szCs w:val="21"/>
          <w:lang w:eastAsia="zh-CN"/>
        </w:rPr>
        <w:t>（</w:t>
      </w:r>
      <w:r>
        <w:rPr>
          <w:rFonts w:hint="eastAsia" w:cs="黑体" w:asciiTheme="minorEastAsia" w:hAnsiTheme="minorEastAsia" w:eastAsiaTheme="minorEastAsia"/>
          <w:b/>
          <w:sz w:val="21"/>
          <w:szCs w:val="21"/>
          <w:lang w:val="en-US" w:eastAsia="zh-CN"/>
        </w:rPr>
        <w:t>每学期按20周计</w:t>
      </w:r>
      <w:r>
        <w:rPr>
          <w:rFonts w:hint="eastAsia" w:cs="黑体" w:asciiTheme="minorEastAsia" w:hAnsiTheme="minorEastAsia" w:eastAsiaTheme="minorEastAsia"/>
          <w:b/>
          <w:sz w:val="21"/>
          <w:szCs w:val="21"/>
          <w:lang w:eastAsia="zh-CN"/>
        </w:rPr>
        <w:t>）</w:t>
      </w:r>
      <w:r>
        <w:rPr>
          <w:rFonts w:hint="eastAsia" w:cs="黑体" w:asciiTheme="minorEastAsia" w:hAnsiTheme="minorEastAsia" w:eastAsiaTheme="minorEastAsia"/>
          <w:b/>
          <w:sz w:val="21"/>
          <w:szCs w:val="21"/>
        </w:rPr>
        <w:t xml:space="preserve">                     </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1"/>
        <w:gridCol w:w="464"/>
        <w:gridCol w:w="2007"/>
        <w:gridCol w:w="645"/>
        <w:gridCol w:w="537"/>
        <w:gridCol w:w="647"/>
        <w:gridCol w:w="664"/>
        <w:gridCol w:w="675"/>
        <w:gridCol w:w="463"/>
        <w:gridCol w:w="463"/>
        <w:gridCol w:w="463"/>
        <w:gridCol w:w="463"/>
        <w:gridCol w:w="463"/>
        <w:gridCol w:w="4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1" w:type="dxa"/>
            <w:vMerge w:val="restart"/>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课程</w:t>
            </w:r>
          </w:p>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类别</w:t>
            </w:r>
          </w:p>
        </w:tc>
        <w:tc>
          <w:tcPr>
            <w:tcW w:w="464" w:type="dxa"/>
            <w:vMerge w:val="restart"/>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序号</w:t>
            </w:r>
          </w:p>
        </w:tc>
        <w:tc>
          <w:tcPr>
            <w:tcW w:w="2007" w:type="dxa"/>
            <w:vMerge w:val="restart"/>
            <w:vAlign w:val="center"/>
          </w:tcPr>
          <w:p>
            <w:pPr>
              <w:pStyle w:val="43"/>
              <w:spacing w:line="500" w:lineRule="exact"/>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课程名称</w:t>
            </w:r>
          </w:p>
        </w:tc>
        <w:tc>
          <w:tcPr>
            <w:tcW w:w="645" w:type="dxa"/>
            <w:vMerge w:val="restart"/>
            <w:vAlign w:val="center"/>
          </w:tcPr>
          <w:p>
            <w:pPr>
              <w:adjustRightInd w:val="0"/>
              <w:snapToGrid w:val="0"/>
              <w:spacing w:line="500" w:lineRule="exact"/>
              <w:rPr>
                <w:rFonts w:cs="宋体" w:asciiTheme="minorEastAsia" w:hAnsiTheme="minorEastAsia" w:eastAsiaTheme="minorEastAsia"/>
                <w:b/>
                <w:szCs w:val="21"/>
              </w:rPr>
            </w:pPr>
            <w:r>
              <w:rPr>
                <w:rFonts w:hint="eastAsia" w:cs="宋体" w:asciiTheme="minorEastAsia" w:hAnsiTheme="minorEastAsia" w:eastAsiaTheme="minorEastAsia"/>
                <w:b/>
                <w:szCs w:val="21"/>
              </w:rPr>
              <w:t>考核方式</w:t>
            </w:r>
          </w:p>
        </w:tc>
        <w:tc>
          <w:tcPr>
            <w:tcW w:w="537" w:type="dxa"/>
            <w:vMerge w:val="restart"/>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学分</w:t>
            </w:r>
          </w:p>
        </w:tc>
        <w:tc>
          <w:tcPr>
            <w:tcW w:w="1986" w:type="dxa"/>
            <w:gridSpan w:val="3"/>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总学时分配</w:t>
            </w:r>
          </w:p>
        </w:tc>
        <w:tc>
          <w:tcPr>
            <w:tcW w:w="2779" w:type="dxa"/>
            <w:gridSpan w:val="6"/>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各学期周课时分配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p>
        </w:tc>
        <w:tc>
          <w:tcPr>
            <w:tcW w:w="464" w:type="dxa"/>
            <w:vMerge w:val="continue"/>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p>
        </w:tc>
        <w:tc>
          <w:tcPr>
            <w:tcW w:w="2007" w:type="dxa"/>
            <w:vMerge w:val="continue"/>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p>
        </w:tc>
        <w:tc>
          <w:tcPr>
            <w:tcW w:w="645" w:type="dxa"/>
            <w:vMerge w:val="continue"/>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p>
        </w:tc>
        <w:tc>
          <w:tcPr>
            <w:tcW w:w="537" w:type="dxa"/>
            <w:vMerge w:val="continue"/>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p>
        </w:tc>
        <w:tc>
          <w:tcPr>
            <w:tcW w:w="647"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理论</w:t>
            </w:r>
          </w:p>
        </w:tc>
        <w:tc>
          <w:tcPr>
            <w:tcW w:w="664"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技能</w:t>
            </w:r>
          </w:p>
        </w:tc>
        <w:tc>
          <w:tcPr>
            <w:tcW w:w="675"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小计</w:t>
            </w:r>
          </w:p>
        </w:tc>
        <w:tc>
          <w:tcPr>
            <w:tcW w:w="463"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一</w:t>
            </w:r>
          </w:p>
        </w:tc>
        <w:tc>
          <w:tcPr>
            <w:tcW w:w="463"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二</w:t>
            </w:r>
          </w:p>
        </w:tc>
        <w:tc>
          <w:tcPr>
            <w:tcW w:w="463"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三</w:t>
            </w:r>
          </w:p>
        </w:tc>
        <w:tc>
          <w:tcPr>
            <w:tcW w:w="463"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四</w:t>
            </w:r>
          </w:p>
        </w:tc>
        <w:tc>
          <w:tcPr>
            <w:tcW w:w="463"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五</w:t>
            </w:r>
          </w:p>
        </w:tc>
        <w:tc>
          <w:tcPr>
            <w:tcW w:w="464" w:type="dxa"/>
            <w:tcBorders>
              <w:bottom w:val="single" w:color="auto" w:sz="8" w:space="0"/>
            </w:tcBorders>
            <w:vAlign w:val="center"/>
          </w:tcPr>
          <w:p>
            <w:pPr>
              <w:pStyle w:val="43"/>
              <w:spacing w:line="500" w:lineRule="exact"/>
              <w:jc w:val="both"/>
              <w:rPr>
                <w:rFonts w:cs="宋体" w:asciiTheme="minorEastAsia" w:hAnsiTheme="minorEastAsia" w:eastAsiaTheme="minorEastAsia"/>
                <w:b/>
                <w:sz w:val="21"/>
                <w:szCs w:val="21"/>
              </w:rPr>
            </w:pPr>
            <w:r>
              <w:rPr>
                <w:rFonts w:hint="eastAsia" w:cs="宋体" w:asciiTheme="minorEastAsia" w:hAnsiTheme="minorEastAsia" w:eastAsiaTheme="minorEastAsia"/>
                <w:b/>
                <w:sz w:val="21"/>
                <w:szCs w:val="21"/>
              </w:rPr>
              <w:t>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1" w:type="dxa"/>
            <w:vMerge w:val="restart"/>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公共基础课程</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2007" w:type="dxa"/>
            <w:tcBorders>
              <w:top w:val="single" w:color="auto" w:sz="8" w:space="0"/>
            </w:tcBorders>
            <w:vAlign w:val="center"/>
          </w:tcPr>
          <w:p>
            <w:pPr>
              <w:pStyle w:val="5"/>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语文</w:t>
            </w: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12</w:t>
            </w:r>
          </w:p>
        </w:tc>
        <w:tc>
          <w:tcPr>
            <w:tcW w:w="647"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240</w:t>
            </w:r>
          </w:p>
        </w:tc>
        <w:tc>
          <w:tcPr>
            <w:tcW w:w="6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240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2007" w:type="dxa"/>
            <w:vAlign w:val="center"/>
          </w:tcPr>
          <w:p>
            <w:pPr>
              <w:pStyle w:val="5"/>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数学</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10</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英语及专业英语</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6</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计算机应用基础</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6</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60</w:t>
            </w: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60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5</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职业生涯规划</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6</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kern w:val="0"/>
                <w:szCs w:val="21"/>
              </w:rPr>
              <w:t>经济政治与生活</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7</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哲学与人生</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8</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bCs/>
                <w:szCs w:val="21"/>
              </w:rPr>
              <w:t>职业道德与法律</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6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9</w:t>
            </w:r>
          </w:p>
        </w:tc>
        <w:tc>
          <w:tcPr>
            <w:tcW w:w="2007" w:type="dxa"/>
            <w:vAlign w:val="center"/>
          </w:tcPr>
          <w:p>
            <w:pPr>
              <w:adjustRightInd w:val="0"/>
              <w:snapToGrid w:val="0"/>
              <w:spacing w:line="500" w:lineRule="exact"/>
              <w:rPr>
                <w:rFonts w:cs="宋体" w:asciiTheme="minorEastAsia" w:hAnsiTheme="minorEastAsia" w:eastAsiaTheme="minorEastAsia"/>
                <w:bCs/>
                <w:szCs w:val="21"/>
              </w:rPr>
            </w:pPr>
            <w:r>
              <w:rPr>
                <w:rFonts w:hint="eastAsia" w:cs="宋体" w:asciiTheme="minorEastAsia" w:hAnsiTheme="minorEastAsia" w:eastAsiaTheme="minorEastAsia"/>
                <w:szCs w:val="21"/>
              </w:rPr>
              <w:t>体育与健康</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cs="宋体" w:asciiTheme="minorEastAsia" w:hAnsiTheme="minorEastAsia" w:eastAsiaTheme="minorEastAsia"/>
                <w:bCs/>
                <w:sz w:val="21"/>
                <w:szCs w:val="21"/>
              </w:rPr>
              <w:t>8</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w:t>
            </w: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160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751" w:type="dxa"/>
            <w:vMerge w:val="continue"/>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2471" w:type="dxa"/>
            <w:gridSpan w:val="2"/>
            <w:tcBorders>
              <w:bottom w:val="single" w:color="auto" w:sz="8" w:space="0"/>
            </w:tcBorders>
          </w:tcPr>
          <w:p>
            <w:pPr>
              <w:adjustRightInd w:val="0"/>
              <w:snapToGrid w:val="0"/>
              <w:spacing w:line="500" w:lineRule="exac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公共基础课程小计</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w:t>
            </w:r>
          </w:p>
        </w:tc>
        <w:tc>
          <w:tcPr>
            <w:tcW w:w="537" w:type="dxa"/>
            <w:tcBorders>
              <w:bottom w:val="single" w:color="auto" w:sz="8" w:space="0"/>
            </w:tcBorders>
            <w:vAlign w:val="center"/>
          </w:tcPr>
          <w:p>
            <w:pPr>
              <w:widowControl/>
              <w:spacing w:line="500" w:lineRule="exact"/>
              <w:rPr>
                <w:rFonts w:asciiTheme="minorEastAsia" w:hAnsiTheme="minorEastAsia" w:eastAsiaTheme="minorEastAsia"/>
                <w:b/>
                <w:kern w:val="0"/>
                <w:szCs w:val="21"/>
              </w:rPr>
            </w:pPr>
            <w:r>
              <w:rPr>
                <w:rFonts w:hint="eastAsia" w:asciiTheme="minorEastAsia" w:hAnsiTheme="minorEastAsia" w:eastAsiaTheme="minorEastAsia"/>
                <w:b/>
                <w:szCs w:val="21"/>
              </w:rPr>
              <w:t>50</w:t>
            </w:r>
          </w:p>
        </w:tc>
        <w:tc>
          <w:tcPr>
            <w:tcW w:w="647" w:type="dxa"/>
            <w:tcBorders>
              <w:bottom w:val="single" w:color="auto" w:sz="8" w:space="0"/>
            </w:tcBorders>
            <w:vAlign w:val="center"/>
          </w:tcPr>
          <w:p>
            <w:pPr>
              <w:spacing w:line="500" w:lineRule="exact"/>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820</w:t>
            </w:r>
          </w:p>
        </w:tc>
        <w:tc>
          <w:tcPr>
            <w:tcW w:w="664" w:type="dxa"/>
            <w:tcBorders>
              <w:bottom w:val="single" w:color="auto" w:sz="8" w:space="0"/>
            </w:tcBorders>
            <w:vAlign w:val="center"/>
          </w:tcPr>
          <w:p>
            <w:pPr>
              <w:spacing w:line="500" w:lineRule="exact"/>
              <w:rPr>
                <w:rFonts w:hint="eastAsia" w:asciiTheme="minorEastAsia" w:hAnsiTheme="minorEastAsia" w:eastAsiaTheme="minorEastAsia"/>
                <w:b/>
                <w:szCs w:val="21"/>
                <w:lang w:val="en-US" w:eastAsia="zh-CN"/>
              </w:rPr>
            </w:pPr>
            <w:r>
              <w:rPr>
                <w:rFonts w:hint="eastAsia" w:asciiTheme="minorEastAsia" w:hAnsiTheme="minorEastAsia" w:eastAsiaTheme="minorEastAsia"/>
                <w:b/>
                <w:szCs w:val="21"/>
              </w:rPr>
              <w:t>18</w:t>
            </w:r>
            <w:r>
              <w:rPr>
                <w:rFonts w:hint="eastAsia" w:asciiTheme="minorEastAsia" w:hAnsiTheme="minorEastAsia" w:eastAsiaTheme="minorEastAsia"/>
                <w:b/>
                <w:szCs w:val="21"/>
                <w:lang w:val="en-US" w:eastAsia="zh-CN"/>
              </w:rPr>
              <w:t>0</w:t>
            </w:r>
          </w:p>
        </w:tc>
        <w:tc>
          <w:tcPr>
            <w:tcW w:w="675" w:type="dxa"/>
            <w:tcBorders>
              <w:bottom w:val="single" w:color="auto" w:sz="8" w:space="0"/>
            </w:tcBorders>
            <w:vAlign w:val="center"/>
          </w:tcPr>
          <w:p>
            <w:pPr>
              <w:spacing w:line="500" w:lineRule="exact"/>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1000</w:t>
            </w:r>
          </w:p>
        </w:tc>
        <w:tc>
          <w:tcPr>
            <w:tcW w:w="463"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463"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16</w:t>
            </w:r>
          </w:p>
        </w:tc>
        <w:tc>
          <w:tcPr>
            <w:tcW w:w="463"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463"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9</w:t>
            </w:r>
          </w:p>
        </w:tc>
        <w:tc>
          <w:tcPr>
            <w:tcW w:w="463"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0</w:t>
            </w:r>
          </w:p>
        </w:tc>
        <w:tc>
          <w:tcPr>
            <w:tcW w:w="464" w:type="dxa"/>
            <w:tcBorders>
              <w:bottom w:val="single" w:color="auto" w:sz="8" w:space="0"/>
            </w:tcBorders>
            <w:vAlign w:val="center"/>
          </w:tcPr>
          <w:p>
            <w:pPr>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1" w:type="dxa"/>
            <w:vMerge w:val="restart"/>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专业核心课程</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2007" w:type="dxa"/>
            <w:tcBorders>
              <w:top w:val="single" w:color="auto" w:sz="8" w:space="0"/>
            </w:tcBorders>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声乐</w:t>
            </w: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6</w:t>
            </w:r>
          </w:p>
        </w:tc>
        <w:tc>
          <w:tcPr>
            <w:tcW w:w="64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664"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675"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120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唱腔念白</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w:t>
            </w:r>
          </w:p>
        </w:tc>
        <w:tc>
          <w:tcPr>
            <w:tcW w:w="647" w:type="dxa"/>
          </w:tcPr>
          <w:p>
            <w:pPr>
              <w:pStyle w:val="43"/>
              <w:spacing w:line="500" w:lineRule="exact"/>
              <w:jc w:val="both"/>
              <w:rPr>
                <w:rFonts w:cs="宋体" w:asciiTheme="minorEastAsia" w:hAnsiTheme="minorEastAsia" w:eastAsiaTheme="minorEastAsia"/>
                <w:bCs/>
                <w:sz w:val="21"/>
                <w:szCs w:val="21"/>
              </w:rPr>
            </w:pP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中国戏曲艺术</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664" w:type="dxa"/>
          </w:tcPr>
          <w:p>
            <w:pPr>
              <w:pStyle w:val="43"/>
              <w:spacing w:line="500" w:lineRule="exact"/>
              <w:jc w:val="both"/>
              <w:rPr>
                <w:rFonts w:cs="宋体" w:asciiTheme="minorEastAsia" w:hAnsiTheme="minorEastAsia" w:eastAsiaTheme="minorEastAsia"/>
                <w:bCs/>
                <w:sz w:val="21"/>
                <w:szCs w:val="21"/>
              </w:rPr>
            </w:pP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中国戏曲史</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664" w:type="dxa"/>
          </w:tcPr>
          <w:p>
            <w:pPr>
              <w:pStyle w:val="43"/>
              <w:spacing w:line="500" w:lineRule="exact"/>
              <w:jc w:val="both"/>
              <w:rPr>
                <w:rFonts w:cs="宋体" w:asciiTheme="minorEastAsia" w:hAnsiTheme="minorEastAsia" w:eastAsiaTheme="minorEastAsia"/>
                <w:bCs/>
                <w:sz w:val="21"/>
                <w:szCs w:val="21"/>
              </w:rPr>
            </w:pP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5</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戏剧表演基础</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8</w:t>
            </w:r>
          </w:p>
        </w:tc>
        <w:tc>
          <w:tcPr>
            <w:tcW w:w="647" w:type="dxa"/>
          </w:tcPr>
          <w:p>
            <w:pPr>
              <w:pStyle w:val="43"/>
              <w:spacing w:line="500" w:lineRule="exact"/>
              <w:jc w:val="both"/>
              <w:rPr>
                <w:rFonts w:cs="宋体" w:asciiTheme="minorEastAsia" w:hAnsiTheme="minorEastAsia" w:eastAsiaTheme="minorEastAsia"/>
                <w:bCs/>
                <w:sz w:val="21"/>
                <w:szCs w:val="21"/>
              </w:rPr>
            </w:pP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160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160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6</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毯子功</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14</w:t>
            </w:r>
          </w:p>
        </w:tc>
        <w:tc>
          <w:tcPr>
            <w:tcW w:w="647" w:type="dxa"/>
          </w:tcPr>
          <w:p>
            <w:pPr>
              <w:pStyle w:val="43"/>
              <w:spacing w:line="500" w:lineRule="exact"/>
              <w:jc w:val="both"/>
              <w:rPr>
                <w:rFonts w:cs="宋体" w:asciiTheme="minorEastAsia" w:hAnsiTheme="minorEastAsia" w:eastAsiaTheme="minorEastAsia"/>
                <w:bCs/>
                <w:sz w:val="21"/>
                <w:szCs w:val="21"/>
              </w:rPr>
            </w:pP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280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280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7</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形体</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w:t>
            </w:r>
          </w:p>
        </w:tc>
        <w:tc>
          <w:tcPr>
            <w:tcW w:w="647" w:type="dxa"/>
          </w:tcPr>
          <w:p>
            <w:pPr>
              <w:pStyle w:val="43"/>
              <w:spacing w:line="500" w:lineRule="exact"/>
              <w:jc w:val="both"/>
              <w:rPr>
                <w:rFonts w:cs="宋体" w:asciiTheme="minorEastAsia" w:hAnsiTheme="minorEastAsia" w:eastAsiaTheme="minorEastAsia"/>
                <w:bCs/>
                <w:sz w:val="21"/>
                <w:szCs w:val="21"/>
              </w:rPr>
            </w:pP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8</w:t>
            </w:r>
          </w:p>
        </w:tc>
        <w:tc>
          <w:tcPr>
            <w:tcW w:w="2007" w:type="dxa"/>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演员艺术语言基本技巧</w:t>
            </w:r>
          </w:p>
        </w:tc>
        <w:tc>
          <w:tcPr>
            <w:tcW w:w="645"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考试</w:t>
            </w:r>
          </w:p>
        </w:tc>
        <w:tc>
          <w:tcPr>
            <w:tcW w:w="537"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10</w:t>
            </w:r>
          </w:p>
        </w:tc>
        <w:tc>
          <w:tcPr>
            <w:tcW w:w="647" w:type="dxa"/>
          </w:tcPr>
          <w:p>
            <w:pPr>
              <w:pStyle w:val="43"/>
              <w:spacing w:line="500" w:lineRule="exact"/>
              <w:jc w:val="both"/>
              <w:rPr>
                <w:rFonts w:cs="宋体" w:asciiTheme="minorEastAsia" w:hAnsiTheme="minorEastAsia" w:eastAsiaTheme="minorEastAsia"/>
                <w:bCs/>
                <w:sz w:val="21"/>
                <w:szCs w:val="21"/>
              </w:rPr>
            </w:pPr>
          </w:p>
        </w:tc>
        <w:tc>
          <w:tcPr>
            <w:tcW w:w="664"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675" w:type="dxa"/>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200</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463" w:type="dxa"/>
          </w:tcPr>
          <w:p>
            <w:pPr>
              <w:pStyle w:val="43"/>
              <w:spacing w:line="500" w:lineRule="exact"/>
              <w:jc w:val="both"/>
              <w:rPr>
                <w:rFonts w:cs="宋体" w:asciiTheme="minorEastAsia" w:hAnsiTheme="minorEastAsia" w:eastAsiaTheme="minorEastAsia"/>
                <w:bCs/>
                <w:sz w:val="21"/>
                <w:szCs w:val="21"/>
              </w:rPr>
            </w:pPr>
          </w:p>
        </w:tc>
        <w:tc>
          <w:tcPr>
            <w:tcW w:w="464" w:type="dxa"/>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751" w:type="dxa"/>
            <w:vMerge w:val="continue"/>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2471" w:type="dxa"/>
            <w:gridSpan w:val="2"/>
            <w:tcBorders>
              <w:bottom w:val="single" w:color="auto" w:sz="8" w:space="0"/>
            </w:tcBorders>
          </w:tcPr>
          <w:p>
            <w:pPr>
              <w:adjustRightInd w:val="0"/>
              <w:snapToGrid w:val="0"/>
              <w:spacing w:line="500" w:lineRule="exac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专业核心课程小计</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53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70</w:t>
            </w:r>
          </w:p>
        </w:tc>
        <w:tc>
          <w:tcPr>
            <w:tcW w:w="647"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160</w:t>
            </w:r>
          </w:p>
        </w:tc>
        <w:tc>
          <w:tcPr>
            <w:tcW w:w="664"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rPr>
              <w:t>11</w:t>
            </w:r>
            <w:r>
              <w:rPr>
                <w:rFonts w:hint="eastAsia" w:cs="宋体" w:asciiTheme="minorEastAsia" w:hAnsiTheme="minorEastAsia" w:eastAsiaTheme="minorEastAsia"/>
                <w:b/>
                <w:bCs/>
                <w:sz w:val="21"/>
                <w:szCs w:val="21"/>
                <w:lang w:val="en-US" w:eastAsia="zh-CN"/>
              </w:rPr>
              <w:t>60</w:t>
            </w:r>
          </w:p>
        </w:tc>
        <w:tc>
          <w:tcPr>
            <w:tcW w:w="675"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rPr>
              <w:t>1</w:t>
            </w:r>
            <w:r>
              <w:rPr>
                <w:rFonts w:hint="eastAsia" w:cs="宋体" w:asciiTheme="minorEastAsia" w:hAnsiTheme="minorEastAsia" w:eastAsiaTheme="minorEastAsia"/>
                <w:b/>
                <w:bCs/>
                <w:sz w:val="21"/>
                <w:szCs w:val="21"/>
                <w:lang w:val="en-US" w:eastAsia="zh-CN"/>
              </w:rPr>
              <w:t>320</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14</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14</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1" w:type="dxa"/>
            <w:vMerge w:val="restart"/>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专业方向课程</w:t>
            </w:r>
          </w:p>
        </w:tc>
        <w:tc>
          <w:tcPr>
            <w:tcW w:w="464"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2007" w:type="dxa"/>
            <w:tcBorders>
              <w:top w:val="single" w:color="auto" w:sz="8" w:space="0"/>
            </w:tcBorders>
            <w:vAlign w:val="center"/>
          </w:tcPr>
          <w:p>
            <w:pPr>
              <w:autoSpaceDN w:val="0"/>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戏曲表演概论</w:t>
            </w:r>
          </w:p>
        </w:tc>
        <w:tc>
          <w:tcPr>
            <w:tcW w:w="645"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p>
        </w:tc>
        <w:tc>
          <w:tcPr>
            <w:tcW w:w="664" w:type="dxa"/>
            <w:tcBorders>
              <w:top w:val="single" w:color="auto" w:sz="8" w:space="0"/>
            </w:tcBorders>
            <w:vAlign w:val="center"/>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675" w:type="dxa"/>
            <w:tcBorders>
              <w:top w:val="single" w:color="auto" w:sz="8" w:space="0"/>
            </w:tcBorders>
            <w:vAlign w:val="center"/>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463"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p>
        </w:tc>
        <w:tc>
          <w:tcPr>
            <w:tcW w:w="464" w:type="dxa"/>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2007" w:type="dxa"/>
            <w:vAlign w:val="center"/>
          </w:tcPr>
          <w:p>
            <w:pPr>
              <w:autoSpaceDN w:val="0"/>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舞台表演艺术</w:t>
            </w:r>
          </w:p>
        </w:tc>
        <w:tc>
          <w:tcPr>
            <w:tcW w:w="645"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vAlign w:val="center"/>
          </w:tcPr>
          <w:p>
            <w:pPr>
              <w:pStyle w:val="43"/>
              <w:spacing w:line="500" w:lineRule="exact"/>
              <w:jc w:val="both"/>
              <w:rPr>
                <w:rFonts w:cs="宋体" w:asciiTheme="minorEastAsia" w:hAnsiTheme="minorEastAsia" w:eastAsiaTheme="minorEastAsia"/>
                <w:bCs/>
                <w:sz w:val="21"/>
                <w:szCs w:val="21"/>
              </w:rPr>
            </w:pPr>
          </w:p>
        </w:tc>
        <w:tc>
          <w:tcPr>
            <w:tcW w:w="664" w:type="dxa"/>
            <w:vAlign w:val="center"/>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675" w:type="dxa"/>
            <w:vAlign w:val="center"/>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463"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vAlign w:val="center"/>
          </w:tcPr>
          <w:p>
            <w:pPr>
              <w:pStyle w:val="43"/>
              <w:spacing w:line="500" w:lineRule="exact"/>
              <w:jc w:val="both"/>
              <w:rPr>
                <w:rFonts w:cs="宋体" w:asciiTheme="minorEastAsia" w:hAnsiTheme="minorEastAsia" w:eastAsiaTheme="minorEastAsia"/>
                <w:bCs/>
                <w:sz w:val="21"/>
                <w:szCs w:val="21"/>
              </w:rPr>
            </w:pPr>
          </w:p>
        </w:tc>
        <w:tc>
          <w:tcPr>
            <w:tcW w:w="464" w:type="dxa"/>
            <w:vAlign w:val="center"/>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2471" w:type="dxa"/>
            <w:gridSpan w:val="2"/>
            <w:tcBorders>
              <w:bottom w:val="single" w:color="auto" w:sz="8" w:space="0"/>
            </w:tcBorders>
          </w:tcPr>
          <w:p>
            <w:pPr>
              <w:adjustRightInd w:val="0"/>
              <w:snapToGrid w:val="0"/>
              <w:spacing w:line="500" w:lineRule="exac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专业方向课程小计</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53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8</w:t>
            </w:r>
          </w:p>
        </w:tc>
        <w:tc>
          <w:tcPr>
            <w:tcW w:w="64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664"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160</w:t>
            </w:r>
          </w:p>
        </w:tc>
        <w:tc>
          <w:tcPr>
            <w:tcW w:w="675"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160</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2</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51" w:type="dxa"/>
            <w:vMerge w:val="restart"/>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专业选修课程(任选二)</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2007" w:type="dxa"/>
            <w:tcBorders>
              <w:top w:val="single" w:color="auto" w:sz="8" w:space="0"/>
            </w:tcBorders>
            <w:vAlign w:val="center"/>
          </w:tcPr>
          <w:p>
            <w:pPr>
              <w:autoSpaceDN w:val="0"/>
              <w:spacing w:line="500" w:lineRule="exact"/>
              <w:rPr>
                <w:rFonts w:asciiTheme="minorEastAsia" w:hAnsiTheme="minorEastAsia" w:eastAsiaTheme="minorEastAsia"/>
                <w:b/>
                <w:szCs w:val="21"/>
              </w:rPr>
            </w:pPr>
            <w:r>
              <w:rPr>
                <w:rFonts w:hint="eastAsia" w:asciiTheme="minorEastAsia" w:hAnsiTheme="minorEastAsia" w:eastAsiaTheme="minorEastAsia"/>
                <w:b/>
                <w:szCs w:val="21"/>
              </w:rPr>
              <w:t>化妆造型</w:t>
            </w:r>
          </w:p>
          <w:p>
            <w:pPr>
              <w:adjustRightInd w:val="0"/>
              <w:snapToGrid w:val="0"/>
              <w:spacing w:line="500" w:lineRule="exact"/>
              <w:rPr>
                <w:rFonts w:cs="宋体" w:asciiTheme="minorEastAsia" w:hAnsiTheme="minorEastAsia" w:eastAsiaTheme="minorEastAsia"/>
                <w:szCs w:val="21"/>
              </w:rPr>
            </w:pP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664"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675"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80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2471" w:type="dxa"/>
            <w:gridSpan w:val="2"/>
            <w:tcBorders>
              <w:bottom w:val="single" w:color="auto" w:sz="8" w:space="0"/>
            </w:tcBorders>
          </w:tcPr>
          <w:p>
            <w:pPr>
              <w:adjustRightInd w:val="0"/>
              <w:snapToGrid w:val="0"/>
              <w:spacing w:line="500" w:lineRule="exac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专业选修课程小计</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53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4</w:t>
            </w:r>
          </w:p>
        </w:tc>
        <w:tc>
          <w:tcPr>
            <w:tcW w:w="64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664"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80</w:t>
            </w:r>
          </w:p>
        </w:tc>
        <w:tc>
          <w:tcPr>
            <w:tcW w:w="675"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80</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1</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751" w:type="dxa"/>
            <w:vMerge w:val="restart"/>
            <w:tcBorders>
              <w:top w:val="single" w:color="auto" w:sz="8" w:space="0"/>
            </w:tcBorders>
            <w:vAlign w:val="center"/>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实践课程</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w:t>
            </w:r>
          </w:p>
        </w:tc>
        <w:tc>
          <w:tcPr>
            <w:tcW w:w="2007" w:type="dxa"/>
            <w:tcBorders>
              <w:top w:val="single" w:color="auto" w:sz="8" w:space="0"/>
            </w:tcBorders>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军训及综合实践</w:t>
            </w: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6</w:t>
            </w:r>
          </w:p>
        </w:tc>
        <w:tc>
          <w:tcPr>
            <w:tcW w:w="64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6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180</w:t>
            </w:r>
          </w:p>
        </w:tc>
        <w:tc>
          <w:tcPr>
            <w:tcW w:w="67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180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vAlign w:val="center"/>
          </w:tcPr>
          <w:p>
            <w:pPr>
              <w:pStyle w:val="43"/>
              <w:spacing w:line="500" w:lineRule="exact"/>
              <w:jc w:val="both"/>
              <w:rPr>
                <w:rFonts w:cs="宋体" w:asciiTheme="minorEastAsia" w:hAnsiTheme="minorEastAsia" w:eastAsiaTheme="minorEastAsia"/>
                <w:bCs/>
                <w:sz w:val="21"/>
                <w:szCs w:val="21"/>
              </w:rPr>
            </w:pP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2</w:t>
            </w:r>
          </w:p>
        </w:tc>
        <w:tc>
          <w:tcPr>
            <w:tcW w:w="2007" w:type="dxa"/>
            <w:tcBorders>
              <w:top w:val="single" w:color="auto" w:sz="8" w:space="0"/>
            </w:tcBorders>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体验式实习(两周)</w:t>
            </w: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w:t>
            </w:r>
          </w:p>
        </w:tc>
        <w:tc>
          <w:tcPr>
            <w:tcW w:w="647"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6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120</w:t>
            </w:r>
          </w:p>
        </w:tc>
        <w:tc>
          <w:tcPr>
            <w:tcW w:w="67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Pr>
          <w:p>
            <w:pPr>
              <w:pStyle w:val="43"/>
              <w:spacing w:line="500" w:lineRule="exact"/>
              <w:jc w:val="both"/>
              <w:rPr>
                <w:rFonts w:cs="宋体" w:asciiTheme="minorEastAsia" w:hAnsiTheme="minorEastAsia" w:eastAsiaTheme="minorEastAsia"/>
                <w:bCs/>
                <w:sz w:val="21"/>
                <w:szCs w:val="21"/>
              </w:rPr>
            </w:pP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w:t>
            </w:r>
          </w:p>
        </w:tc>
        <w:tc>
          <w:tcPr>
            <w:tcW w:w="2007" w:type="dxa"/>
            <w:tcBorders>
              <w:bottom w:val="single" w:color="auto" w:sz="8" w:space="0"/>
            </w:tcBorders>
            <w:vAlign w:val="center"/>
          </w:tcPr>
          <w:p>
            <w:pPr>
              <w:adjustRightInd w:val="0"/>
              <w:snapToGrid w:val="0"/>
              <w:spacing w:line="500" w:lineRule="exact"/>
              <w:rPr>
                <w:rFonts w:cs="宋体" w:asciiTheme="minorEastAsia" w:hAnsiTheme="minorEastAsia" w:eastAsiaTheme="minorEastAsia"/>
                <w:szCs w:val="21"/>
              </w:rPr>
            </w:pPr>
            <w:r>
              <w:rPr>
                <w:rFonts w:hint="eastAsia" w:cs="宋体" w:asciiTheme="minorEastAsia" w:hAnsiTheme="minorEastAsia" w:eastAsiaTheme="minorEastAsia"/>
                <w:szCs w:val="21"/>
              </w:rPr>
              <w:t>顶岗实习(40周)</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考查</w:t>
            </w:r>
          </w:p>
        </w:tc>
        <w:tc>
          <w:tcPr>
            <w:tcW w:w="537"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40</w:t>
            </w:r>
          </w:p>
        </w:tc>
        <w:tc>
          <w:tcPr>
            <w:tcW w:w="647"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664"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1200</w:t>
            </w:r>
          </w:p>
        </w:tc>
        <w:tc>
          <w:tcPr>
            <w:tcW w:w="675"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1200</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r>
              <w:rPr>
                <w:rFonts w:hint="eastAsia" w:cs="宋体" w:asciiTheme="minorEastAsia" w:hAnsiTheme="minorEastAsia" w:eastAsiaTheme="minorEastAsia"/>
                <w:bCs/>
                <w:sz w:val="21"/>
                <w:szCs w:val="21"/>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751" w:type="dxa"/>
            <w:vMerge w:val="continue"/>
            <w:tcBorders>
              <w:bottom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2471" w:type="dxa"/>
            <w:gridSpan w:val="2"/>
            <w:tcBorders>
              <w:bottom w:val="single" w:color="auto" w:sz="8" w:space="0"/>
            </w:tcBorders>
          </w:tcPr>
          <w:p>
            <w:pPr>
              <w:adjustRightInd w:val="0"/>
              <w:snapToGrid w:val="0"/>
              <w:spacing w:line="500" w:lineRule="exact"/>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实践课程小计</w:t>
            </w:r>
          </w:p>
        </w:tc>
        <w:tc>
          <w:tcPr>
            <w:tcW w:w="645"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53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r>
              <w:rPr>
                <w:rFonts w:hint="eastAsia" w:cs="宋体" w:asciiTheme="minorEastAsia" w:hAnsiTheme="minorEastAsia" w:eastAsiaTheme="minorEastAsia"/>
                <w:b/>
                <w:bCs/>
                <w:sz w:val="21"/>
                <w:szCs w:val="21"/>
              </w:rPr>
              <w:t>50</w:t>
            </w:r>
          </w:p>
        </w:tc>
        <w:tc>
          <w:tcPr>
            <w:tcW w:w="647"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664"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1500</w:t>
            </w:r>
          </w:p>
        </w:tc>
        <w:tc>
          <w:tcPr>
            <w:tcW w:w="675" w:type="dxa"/>
            <w:tcBorders>
              <w:bottom w:val="single" w:color="auto" w:sz="8" w:space="0"/>
            </w:tcBorders>
          </w:tcPr>
          <w:p>
            <w:pPr>
              <w:pStyle w:val="43"/>
              <w:spacing w:line="500" w:lineRule="exact"/>
              <w:jc w:val="both"/>
              <w:rPr>
                <w:rFonts w:hint="default" w:cs="宋体" w:asciiTheme="minorEastAsia" w:hAnsiTheme="minorEastAsia" w:eastAsiaTheme="minorEastAsia"/>
                <w:b/>
                <w:bCs/>
                <w:sz w:val="21"/>
                <w:szCs w:val="21"/>
                <w:lang w:val="en-US" w:eastAsia="zh-CN"/>
              </w:rPr>
            </w:pPr>
            <w:r>
              <w:rPr>
                <w:rFonts w:hint="eastAsia" w:cs="宋体" w:asciiTheme="minorEastAsia" w:hAnsiTheme="minorEastAsia" w:eastAsiaTheme="minorEastAsia"/>
                <w:b/>
                <w:bCs/>
                <w:sz w:val="21"/>
                <w:szCs w:val="21"/>
                <w:lang w:val="en-US" w:eastAsia="zh-CN"/>
              </w:rPr>
              <w:t>1500</w:t>
            </w: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3"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c>
          <w:tcPr>
            <w:tcW w:w="464" w:type="dxa"/>
            <w:tcBorders>
              <w:bottom w:val="single" w:color="auto" w:sz="8" w:space="0"/>
            </w:tcBorders>
          </w:tcPr>
          <w:p>
            <w:pPr>
              <w:pStyle w:val="43"/>
              <w:spacing w:line="500" w:lineRule="exact"/>
              <w:jc w:val="both"/>
              <w:rPr>
                <w:rFonts w:cs="宋体" w:asciiTheme="minorEastAsia" w:hAnsiTheme="minorEastAsia" w:eastAsiaTheme="minorEastAsia"/>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3222" w:type="dxa"/>
            <w:gridSpan w:val="3"/>
            <w:tcBorders>
              <w:top w:val="single" w:color="auto" w:sz="8" w:space="0"/>
            </w:tcBorders>
          </w:tcPr>
          <w:p>
            <w:pPr>
              <w:adjustRightInd w:val="0"/>
              <w:snapToGrid w:val="0"/>
              <w:spacing w:line="500" w:lineRule="exact"/>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总  计</w:t>
            </w:r>
          </w:p>
        </w:tc>
        <w:tc>
          <w:tcPr>
            <w:tcW w:w="645"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537"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132</w:t>
            </w:r>
          </w:p>
        </w:tc>
        <w:tc>
          <w:tcPr>
            <w:tcW w:w="647"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980</w:t>
            </w:r>
          </w:p>
        </w:tc>
        <w:tc>
          <w:tcPr>
            <w:tcW w:w="664"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3080</w:t>
            </w:r>
          </w:p>
        </w:tc>
        <w:tc>
          <w:tcPr>
            <w:tcW w:w="675" w:type="dxa"/>
            <w:tcBorders>
              <w:top w:val="single" w:color="auto" w:sz="8" w:space="0"/>
            </w:tcBorders>
          </w:tcPr>
          <w:p>
            <w:pPr>
              <w:pStyle w:val="43"/>
              <w:spacing w:line="500" w:lineRule="exact"/>
              <w:jc w:val="both"/>
              <w:rPr>
                <w:rFonts w:hint="default" w:cs="宋体" w:asciiTheme="minorEastAsia" w:hAnsiTheme="minorEastAsia" w:eastAsiaTheme="minorEastAsia"/>
                <w:bCs/>
                <w:sz w:val="21"/>
                <w:szCs w:val="21"/>
                <w:lang w:val="en-US" w:eastAsia="zh-CN"/>
              </w:rPr>
            </w:pPr>
            <w:r>
              <w:rPr>
                <w:rFonts w:hint="eastAsia" w:cs="宋体" w:asciiTheme="minorEastAsia" w:hAnsiTheme="minorEastAsia" w:eastAsiaTheme="minorEastAsia"/>
                <w:bCs/>
                <w:sz w:val="21"/>
                <w:szCs w:val="21"/>
                <w:lang w:val="en-US" w:eastAsia="zh-CN"/>
              </w:rPr>
              <w:t>4060</w:t>
            </w: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3"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c>
          <w:tcPr>
            <w:tcW w:w="464" w:type="dxa"/>
            <w:tcBorders>
              <w:top w:val="single" w:color="auto" w:sz="8" w:space="0"/>
            </w:tcBorders>
          </w:tcPr>
          <w:p>
            <w:pPr>
              <w:pStyle w:val="43"/>
              <w:spacing w:line="500" w:lineRule="exact"/>
              <w:jc w:val="both"/>
              <w:rPr>
                <w:rFonts w:cs="宋体" w:asciiTheme="minorEastAsia" w:hAnsiTheme="minorEastAsia" w:eastAsiaTheme="minorEastAsia"/>
                <w:bCs/>
                <w:sz w:val="21"/>
                <w:szCs w:val="21"/>
              </w:rPr>
            </w:pPr>
          </w:p>
        </w:tc>
      </w:tr>
    </w:tbl>
    <w:p>
      <w:pPr>
        <w:widowControl/>
        <w:spacing w:line="440" w:lineRule="exact"/>
        <w:ind w:firstLine="562" w:firstLineChars="200"/>
        <w:rPr>
          <w:rFonts w:cs="Arial" w:asciiTheme="minorEastAsia" w:hAnsiTheme="minorEastAsia" w:eastAsiaTheme="minorEastAsia"/>
          <w:b/>
          <w:kern w:val="0"/>
          <w:sz w:val="28"/>
          <w:szCs w:val="28"/>
        </w:rPr>
      </w:pPr>
      <w:r>
        <w:rPr>
          <w:rFonts w:hint="eastAsia" w:cs="Arial" w:asciiTheme="minorEastAsia" w:hAnsiTheme="minorEastAsia" w:eastAsiaTheme="minorEastAsia"/>
          <w:b/>
          <w:kern w:val="0"/>
          <w:sz w:val="28"/>
          <w:szCs w:val="28"/>
        </w:rPr>
        <w:t>(二)课程结构比例</w:t>
      </w:r>
    </w:p>
    <w:p>
      <w:pPr>
        <w:pStyle w:val="4"/>
        <w:adjustRightInd w:val="0"/>
        <w:snapToGrid w:val="0"/>
        <w:spacing w:line="440" w:lineRule="exact"/>
        <w:ind w:firstLine="562" w:firstLineChars="200"/>
        <w:jc w:val="center"/>
        <w:rPr>
          <w:rFonts w:cs="黑体" w:asciiTheme="minorEastAsia" w:hAnsiTheme="minorEastAsia" w:eastAsiaTheme="minorEastAsia"/>
          <w:b/>
          <w:sz w:val="28"/>
          <w:szCs w:val="28"/>
        </w:rPr>
      </w:pPr>
      <w:r>
        <w:rPr>
          <w:rFonts w:hint="eastAsia" w:cs="黑体" w:asciiTheme="minorEastAsia" w:hAnsiTheme="minorEastAsia" w:eastAsiaTheme="minorEastAsia"/>
          <w:b/>
          <w:sz w:val="28"/>
          <w:szCs w:val="28"/>
        </w:rPr>
        <w:t>戏曲表演专业课程结构比例</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121"/>
        <w:gridCol w:w="2556"/>
        <w:gridCol w:w="1111"/>
        <w:gridCol w:w="24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556"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课程类别</w:t>
            </w:r>
          </w:p>
        </w:tc>
        <w:tc>
          <w:tcPr>
            <w:tcW w:w="1121"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学时数</w:t>
            </w:r>
          </w:p>
        </w:tc>
        <w:tc>
          <w:tcPr>
            <w:tcW w:w="2556" w:type="dxa"/>
          </w:tcPr>
          <w:p>
            <w:pPr>
              <w:spacing w:line="440" w:lineRule="exact"/>
              <w:rPr>
                <w:rFonts w:asciiTheme="minorEastAsia" w:hAnsiTheme="minorEastAsia" w:eastAsiaTheme="minorEastAsia"/>
                <w:szCs w:val="21"/>
              </w:rPr>
            </w:pPr>
            <w:r>
              <w:rPr>
                <w:rFonts w:asciiTheme="minorEastAsia" w:hAnsiTheme="minorEastAsia" w:eastAsiaTheme="minorEastAsia"/>
                <w:szCs w:val="21"/>
              </w:rPr>
              <w:t>占总学时的比例（％）</w:t>
            </w:r>
          </w:p>
        </w:tc>
        <w:tc>
          <w:tcPr>
            <w:tcW w:w="1111" w:type="dxa"/>
          </w:tcPr>
          <w:p>
            <w:pPr>
              <w:spacing w:line="440" w:lineRule="exact"/>
              <w:rPr>
                <w:rFonts w:asciiTheme="minorEastAsia" w:hAnsiTheme="minorEastAsia" w:eastAsiaTheme="minorEastAsia"/>
                <w:szCs w:val="21"/>
              </w:rPr>
            </w:pPr>
            <w:r>
              <w:rPr>
                <w:rFonts w:asciiTheme="minorEastAsia" w:hAnsiTheme="minorEastAsia" w:eastAsiaTheme="minorEastAsia"/>
                <w:szCs w:val="21"/>
              </w:rPr>
              <w:t>学分数</w:t>
            </w:r>
          </w:p>
        </w:tc>
        <w:tc>
          <w:tcPr>
            <w:tcW w:w="2486" w:type="dxa"/>
          </w:tcPr>
          <w:p>
            <w:pPr>
              <w:spacing w:line="440" w:lineRule="exact"/>
              <w:rPr>
                <w:rFonts w:asciiTheme="minorEastAsia" w:hAnsiTheme="minorEastAsia" w:eastAsiaTheme="minorEastAsia"/>
                <w:szCs w:val="21"/>
              </w:rPr>
            </w:pPr>
            <w:r>
              <w:rPr>
                <w:rFonts w:asciiTheme="minorEastAsia" w:hAnsiTheme="minorEastAsia" w:eastAsiaTheme="minorEastAsia"/>
                <w:szCs w:val="21"/>
              </w:rPr>
              <w:t>占总学分的比例（％）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556"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公共课</w:t>
            </w:r>
          </w:p>
        </w:tc>
        <w:tc>
          <w:tcPr>
            <w:tcW w:w="1121" w:type="dxa"/>
          </w:tcPr>
          <w:p>
            <w:pPr>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1000</w:t>
            </w:r>
          </w:p>
        </w:tc>
        <w:tc>
          <w:tcPr>
            <w:tcW w:w="255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37</w:t>
            </w:r>
          </w:p>
        </w:tc>
        <w:tc>
          <w:tcPr>
            <w:tcW w:w="1111"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50</w:t>
            </w:r>
          </w:p>
        </w:tc>
        <w:tc>
          <w:tcPr>
            <w:tcW w:w="248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37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1556"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专业</w:t>
            </w:r>
            <w:r>
              <w:rPr>
                <w:rFonts w:asciiTheme="minorEastAsia" w:hAnsiTheme="minorEastAsia" w:eastAsiaTheme="minorEastAsia"/>
                <w:szCs w:val="21"/>
              </w:rPr>
              <w:t>课</w:t>
            </w:r>
          </w:p>
        </w:tc>
        <w:tc>
          <w:tcPr>
            <w:tcW w:w="1121" w:type="dxa"/>
          </w:tcPr>
          <w:p>
            <w:pPr>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14</w:t>
            </w:r>
            <w:r>
              <w:rPr>
                <w:rFonts w:hint="eastAsia" w:asciiTheme="minorEastAsia" w:hAnsiTheme="minorEastAsia" w:eastAsiaTheme="minorEastAsia"/>
                <w:szCs w:val="21"/>
                <w:lang w:val="en-US" w:eastAsia="zh-CN"/>
              </w:rPr>
              <w:t>00</w:t>
            </w:r>
          </w:p>
        </w:tc>
        <w:tc>
          <w:tcPr>
            <w:tcW w:w="255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60</w:t>
            </w:r>
          </w:p>
        </w:tc>
        <w:tc>
          <w:tcPr>
            <w:tcW w:w="1111"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78</w:t>
            </w:r>
          </w:p>
        </w:tc>
        <w:tc>
          <w:tcPr>
            <w:tcW w:w="248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56"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选修</w:t>
            </w:r>
            <w:r>
              <w:rPr>
                <w:rFonts w:hint="eastAsia" w:asciiTheme="minorEastAsia" w:hAnsiTheme="minorEastAsia" w:eastAsiaTheme="minorEastAsia"/>
                <w:szCs w:val="21"/>
              </w:rPr>
              <w:t>课</w:t>
            </w:r>
          </w:p>
        </w:tc>
        <w:tc>
          <w:tcPr>
            <w:tcW w:w="1121" w:type="dxa"/>
          </w:tcPr>
          <w:p>
            <w:pPr>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80</w:t>
            </w:r>
          </w:p>
        </w:tc>
        <w:tc>
          <w:tcPr>
            <w:tcW w:w="255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3</w:t>
            </w:r>
          </w:p>
        </w:tc>
        <w:tc>
          <w:tcPr>
            <w:tcW w:w="1111" w:type="dxa"/>
            <w:vAlign w:val="center"/>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4</w:t>
            </w:r>
          </w:p>
        </w:tc>
        <w:tc>
          <w:tcPr>
            <w:tcW w:w="248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3</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556" w:type="dxa"/>
            <w:vAlign w:val="center"/>
          </w:tcPr>
          <w:p>
            <w:pPr>
              <w:spacing w:line="440" w:lineRule="exact"/>
              <w:rPr>
                <w:rFonts w:asciiTheme="minorEastAsia" w:hAnsiTheme="minorEastAsia" w:eastAsiaTheme="minorEastAsia"/>
                <w:szCs w:val="21"/>
              </w:rPr>
            </w:pPr>
            <w:r>
              <w:rPr>
                <w:rFonts w:asciiTheme="minorEastAsia" w:hAnsiTheme="minorEastAsia" w:eastAsiaTheme="minorEastAsia"/>
                <w:szCs w:val="21"/>
              </w:rPr>
              <w:t>总计</w:t>
            </w:r>
          </w:p>
        </w:tc>
        <w:tc>
          <w:tcPr>
            <w:tcW w:w="1121" w:type="dxa"/>
            <w:vAlign w:val="center"/>
          </w:tcPr>
          <w:p>
            <w:pPr>
              <w:spacing w:line="440" w:lineRule="exact"/>
              <w:rPr>
                <w:rFonts w:hint="default"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2480</w:t>
            </w:r>
          </w:p>
        </w:tc>
        <w:tc>
          <w:tcPr>
            <w:tcW w:w="255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100</w:t>
            </w:r>
          </w:p>
        </w:tc>
        <w:tc>
          <w:tcPr>
            <w:tcW w:w="1111"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132</w:t>
            </w:r>
          </w:p>
        </w:tc>
        <w:tc>
          <w:tcPr>
            <w:tcW w:w="2486" w:type="dxa"/>
          </w:tcPr>
          <w:p>
            <w:pPr>
              <w:spacing w:line="440" w:lineRule="exact"/>
              <w:rPr>
                <w:rFonts w:asciiTheme="minorEastAsia" w:hAnsiTheme="minorEastAsia" w:eastAsiaTheme="minorEastAsia"/>
                <w:szCs w:val="21"/>
              </w:rPr>
            </w:pPr>
            <w:r>
              <w:rPr>
                <w:rFonts w:hint="eastAsia" w:asciiTheme="minorEastAsia" w:hAnsiTheme="minorEastAsia" w:eastAsiaTheme="minorEastAsia"/>
                <w:szCs w:val="21"/>
              </w:rPr>
              <w:t>100</w:t>
            </w:r>
          </w:p>
        </w:tc>
      </w:tr>
    </w:tbl>
    <w:p>
      <w:pPr>
        <w:spacing w:line="440" w:lineRule="exact"/>
        <w:rPr>
          <w:rFonts w:asciiTheme="minorEastAsia" w:hAnsiTheme="minorEastAsia" w:eastAsiaTheme="minorEastAsia"/>
          <w:sz w:val="28"/>
          <w:szCs w:val="28"/>
        </w:rPr>
      </w:pPr>
    </w:p>
    <w:p>
      <w:pPr>
        <w:spacing w:before="124" w:beforeLines="40" w:after="124" w:afterLines="40" w:line="440" w:lineRule="exact"/>
        <w:ind w:firstLine="843" w:firstLineChars="300"/>
        <w:rPr>
          <w:rFonts w:cs="黑体" w:asciiTheme="minorEastAsia" w:hAnsiTheme="minorEastAsia" w:eastAsiaTheme="minorEastAsia"/>
          <w:b/>
          <w:bCs/>
          <w:sz w:val="28"/>
          <w:szCs w:val="28"/>
        </w:rPr>
      </w:pPr>
      <w:r>
        <w:rPr>
          <w:rFonts w:hint="eastAsia" w:cs="黑体" w:asciiTheme="minorEastAsia" w:hAnsiTheme="minorEastAsia" w:eastAsiaTheme="minorEastAsia"/>
          <w:b/>
          <w:bCs/>
          <w:sz w:val="28"/>
          <w:szCs w:val="28"/>
        </w:rPr>
        <w:t>八、实施保障</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（一）师资队伍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1</w:t>
      </w:r>
      <w:r>
        <w:rPr>
          <w:rFonts w:hint="eastAsia" w:ascii="宋体" w:hAnsi="宋体" w:eastAsia="宋体" w:cs="黑体"/>
          <w:color w:val="000000"/>
          <w:sz w:val="28"/>
          <w:szCs w:val="28"/>
        </w:rPr>
        <w:t>、</w:t>
      </w:r>
      <w:r>
        <w:rPr>
          <w:rFonts w:ascii="宋体" w:hAnsi="宋体" w:eastAsia="宋体" w:cs="黑体"/>
          <w:color w:val="000000"/>
          <w:sz w:val="28"/>
          <w:szCs w:val="28"/>
        </w:rPr>
        <w:t>依据国家教育部颁发的《中等职业学校教师专业标准(试行)》和《中等职业学校设置标准》</w:t>
      </w:r>
      <w:r>
        <w:rPr>
          <w:rFonts w:hint="eastAsia" w:ascii="宋体" w:hAnsi="宋体" w:eastAsia="宋体" w:cs="黑体"/>
          <w:color w:val="000000"/>
          <w:sz w:val="28"/>
          <w:szCs w:val="28"/>
        </w:rPr>
        <w:t>的有关规定</w:t>
      </w:r>
      <w:r>
        <w:rPr>
          <w:rFonts w:ascii="宋体" w:hAnsi="宋体" w:eastAsia="宋体" w:cs="黑体"/>
          <w:color w:val="000000"/>
          <w:sz w:val="28"/>
          <w:szCs w:val="28"/>
        </w:rPr>
        <w:t>,适应本专业教育教学改革与发展的高水平专兼职教师队</w:t>
      </w:r>
      <w:r>
        <w:rPr>
          <w:rFonts w:hint="eastAsia" w:ascii="宋体" w:hAnsi="宋体" w:eastAsia="宋体" w:cs="黑体"/>
          <w:color w:val="000000"/>
          <w:sz w:val="28"/>
          <w:szCs w:val="28"/>
        </w:rPr>
        <w:t>伍。</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2</w:t>
      </w:r>
      <w:r>
        <w:rPr>
          <w:rFonts w:hint="eastAsia" w:ascii="宋体" w:hAnsi="宋体" w:eastAsia="宋体" w:cs="黑体"/>
          <w:color w:val="000000"/>
          <w:sz w:val="28"/>
          <w:szCs w:val="28"/>
        </w:rPr>
        <w:t>、</w:t>
      </w:r>
      <w:r>
        <w:rPr>
          <w:rFonts w:ascii="宋体" w:hAnsi="宋体" w:eastAsia="宋体" w:cs="黑体"/>
          <w:color w:val="000000"/>
          <w:sz w:val="28"/>
          <w:szCs w:val="28"/>
        </w:rPr>
        <w:t>从事专业工作两年以上,能够胜任教学工作。</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3</w:t>
      </w:r>
      <w:r>
        <w:rPr>
          <w:rFonts w:hint="eastAsia" w:ascii="宋体" w:hAnsi="宋体" w:eastAsia="宋体" w:cs="黑体"/>
          <w:color w:val="000000"/>
          <w:sz w:val="28"/>
          <w:szCs w:val="28"/>
        </w:rPr>
        <w:t>、</w:t>
      </w:r>
      <w:r>
        <w:rPr>
          <w:rFonts w:ascii="宋体" w:hAnsi="宋体" w:eastAsia="宋体" w:cs="黑体"/>
          <w:color w:val="000000"/>
          <w:sz w:val="28"/>
          <w:szCs w:val="28"/>
        </w:rPr>
        <w:t>专业专任教师和学生之比一般不低于1:25,兼职教师</w:t>
      </w:r>
      <w:r>
        <w:rPr>
          <w:rFonts w:hint="eastAsia" w:ascii="宋体" w:hAnsi="宋体" w:eastAsia="宋体" w:cs="黑体"/>
          <w:color w:val="000000"/>
          <w:sz w:val="28"/>
          <w:szCs w:val="28"/>
        </w:rPr>
        <w:t>一般占专业教师的15%——30%。</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（二）教学设施</w:t>
      </w:r>
    </w:p>
    <w:p>
      <w:pPr>
        <w:spacing w:line="440" w:lineRule="exact"/>
        <w:ind w:firstLine="560" w:firstLineChars="200"/>
        <w:jc w:val="left"/>
        <w:outlineLvl w:val="0"/>
        <w:rPr>
          <w:rFonts w:ascii="宋体" w:hAnsi="宋体" w:eastAsia="宋体" w:cs="黑体"/>
          <w:color w:val="000000"/>
          <w:sz w:val="28"/>
          <w:szCs w:val="28"/>
        </w:rPr>
      </w:pPr>
      <w:r>
        <w:rPr>
          <w:rFonts w:ascii="宋体" w:hAnsi="宋体" w:eastAsia="宋体" w:cs="黑体"/>
          <w:color w:val="000000"/>
          <w:sz w:val="28"/>
          <w:szCs w:val="28"/>
        </w:rPr>
        <w:t>为了保</w:t>
      </w:r>
      <w:r>
        <w:rPr>
          <w:rFonts w:hint="eastAsia" w:ascii="宋体" w:hAnsi="宋体" w:eastAsia="宋体" w:cs="黑体"/>
          <w:color w:val="000000"/>
          <w:sz w:val="28"/>
          <w:szCs w:val="28"/>
        </w:rPr>
        <w:t>证</w:t>
      </w:r>
      <w:r>
        <w:rPr>
          <w:rFonts w:ascii="宋体" w:hAnsi="宋体" w:eastAsia="宋体" w:cs="黑体"/>
          <w:color w:val="000000"/>
          <w:sz w:val="28"/>
          <w:szCs w:val="28"/>
        </w:rPr>
        <w:t>专业導程体系正常</w:t>
      </w:r>
      <w:r>
        <w:rPr>
          <w:rFonts w:hint="eastAsia" w:ascii="宋体" w:hAnsi="宋体" w:eastAsia="宋体" w:cs="黑体"/>
          <w:color w:val="000000"/>
          <w:sz w:val="28"/>
          <w:szCs w:val="28"/>
        </w:rPr>
        <w:t>实施</w:t>
      </w:r>
      <w:r>
        <w:rPr>
          <w:rFonts w:ascii="宋体" w:hAnsi="宋体" w:eastAsia="宋体" w:cs="黑体"/>
          <w:color w:val="000000"/>
          <w:sz w:val="28"/>
          <w:szCs w:val="28"/>
        </w:rPr>
        <w:t>,</w:t>
      </w:r>
      <w:r>
        <w:rPr>
          <w:rFonts w:hint="eastAsia" w:ascii="宋体" w:hAnsi="宋体" w:eastAsia="宋体" w:cs="黑体"/>
          <w:color w:val="000000"/>
          <w:sz w:val="28"/>
          <w:szCs w:val="28"/>
        </w:rPr>
        <w:t>教</w:t>
      </w:r>
      <w:r>
        <w:rPr>
          <w:rFonts w:ascii="宋体" w:hAnsi="宋体" w:eastAsia="宋体" w:cs="黑体"/>
          <w:color w:val="000000"/>
          <w:sz w:val="28"/>
          <w:szCs w:val="28"/>
        </w:rPr>
        <w:t>学场地配</w:t>
      </w:r>
      <w:r>
        <w:rPr>
          <w:rFonts w:hint="eastAsia" w:ascii="宋体" w:hAnsi="宋体" w:eastAsia="宋体" w:cs="黑体"/>
          <w:color w:val="000000"/>
          <w:sz w:val="28"/>
          <w:szCs w:val="28"/>
        </w:rPr>
        <w:t>备</w:t>
      </w:r>
      <w:r>
        <w:rPr>
          <w:rFonts w:ascii="宋体" w:hAnsi="宋体" w:eastAsia="宋体" w:cs="黑体"/>
          <w:color w:val="000000"/>
          <w:sz w:val="28"/>
          <w:szCs w:val="28"/>
        </w:rPr>
        <w:t>要</w:t>
      </w:r>
      <w:r>
        <w:rPr>
          <w:rFonts w:hint="eastAsia" w:ascii="宋体" w:hAnsi="宋体" w:eastAsia="宋体" w:cs="黑体"/>
          <w:color w:val="000000"/>
          <w:sz w:val="28"/>
          <w:szCs w:val="28"/>
        </w:rPr>
        <w:t>求</w:t>
      </w:r>
      <w:r>
        <w:rPr>
          <w:rFonts w:ascii="宋体" w:hAnsi="宋体" w:eastAsia="宋体" w:cs="黑体"/>
          <w:color w:val="000000"/>
          <w:sz w:val="28"/>
          <w:szCs w:val="28"/>
        </w:rPr>
        <w:t>如下表</w:t>
      </w:r>
      <w:r>
        <w:rPr>
          <w:rFonts w:hint="eastAsia" w:ascii="宋体" w:hAnsi="宋体" w:eastAsia="宋体" w:cs="黑体"/>
          <w:color w:val="000000"/>
          <w:sz w:val="28"/>
          <w:szCs w:val="28"/>
        </w:rPr>
        <w:t>：</w:t>
      </w:r>
    </w:p>
    <w:tbl>
      <w:tblPr>
        <w:tblStyle w:val="1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18"/>
        <w:gridCol w:w="1318"/>
        <w:gridCol w:w="1319"/>
        <w:gridCol w:w="1319"/>
        <w:gridCol w:w="1319"/>
        <w:gridCol w:w="1319"/>
        <w:gridCol w:w="13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18" w:type="dxa"/>
            <w:vAlign w:val="center"/>
          </w:tcPr>
          <w:p>
            <w:pPr>
              <w:pStyle w:val="36"/>
              <w:ind w:left="94" w:leftChars="45"/>
              <w:rPr>
                <w:b/>
                <w:bCs/>
                <w:color w:val="000000"/>
                <w:sz w:val="24"/>
                <w:szCs w:val="24"/>
              </w:rPr>
            </w:pPr>
            <w:r>
              <w:rPr>
                <w:rFonts w:hint="eastAsia"/>
                <w:b/>
                <w:bCs/>
                <w:color w:val="000000"/>
                <w:sz w:val="24"/>
                <w:szCs w:val="24"/>
              </w:rPr>
              <w:t>场地</w:t>
            </w:r>
          </w:p>
          <w:p>
            <w:pPr>
              <w:pStyle w:val="36"/>
              <w:ind w:left="94" w:leftChars="45"/>
              <w:rPr>
                <w:b/>
                <w:bCs/>
                <w:color w:val="000000"/>
                <w:sz w:val="24"/>
                <w:szCs w:val="24"/>
              </w:rPr>
            </w:pPr>
            <w:r>
              <w:rPr>
                <w:rFonts w:hint="eastAsia"/>
                <w:b/>
                <w:bCs/>
                <w:color w:val="000000"/>
                <w:sz w:val="24"/>
                <w:szCs w:val="24"/>
              </w:rPr>
              <w:t>名称</w:t>
            </w:r>
          </w:p>
        </w:tc>
        <w:tc>
          <w:tcPr>
            <w:tcW w:w="1318" w:type="dxa"/>
            <w:vAlign w:val="center"/>
          </w:tcPr>
          <w:p>
            <w:pPr>
              <w:pStyle w:val="36"/>
              <w:ind w:left="94" w:leftChars="45"/>
              <w:rPr>
                <w:b/>
                <w:bCs/>
                <w:color w:val="000000"/>
                <w:sz w:val="24"/>
                <w:szCs w:val="24"/>
              </w:rPr>
            </w:pPr>
            <w:r>
              <w:rPr>
                <w:rFonts w:hint="eastAsia"/>
                <w:b/>
                <w:bCs/>
                <w:color w:val="000000"/>
                <w:sz w:val="24"/>
                <w:szCs w:val="24"/>
              </w:rPr>
              <w:t>数量</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人员</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标准</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配备</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标准</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所需</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设备</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设备</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数量</w:t>
            </w:r>
          </w:p>
        </w:tc>
        <w:tc>
          <w:tcPr>
            <w:tcW w:w="1319" w:type="dxa"/>
            <w:vAlign w:val="center"/>
          </w:tcPr>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建筑</w:t>
            </w:r>
          </w:p>
          <w:p>
            <w:pPr>
              <w:spacing w:line="440" w:lineRule="exact"/>
              <w:jc w:val="center"/>
              <w:rPr>
                <w:rFonts w:ascii="宋体" w:hAnsi="宋体" w:eastAsia="宋体"/>
                <w:b/>
                <w:bCs/>
                <w:color w:val="000000"/>
                <w:spacing w:val="20"/>
                <w:kern w:val="10"/>
                <w:sz w:val="24"/>
                <w:szCs w:val="24"/>
              </w:rPr>
            </w:pPr>
            <w:r>
              <w:rPr>
                <w:rFonts w:hint="eastAsia" w:ascii="宋体" w:hAnsi="宋体" w:eastAsia="宋体"/>
                <w:b/>
                <w:bCs/>
                <w:color w:val="000000"/>
                <w:spacing w:val="20"/>
                <w:kern w:val="10"/>
                <w:sz w:val="24"/>
                <w:szCs w:val="24"/>
              </w:rPr>
              <w:t>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6"/>
              <w:ind w:left="31" w:leftChars="15" w:firstLine="53" w:firstLineChars="19"/>
              <w:rPr>
                <w:b/>
                <w:bCs/>
                <w:color w:val="000000"/>
                <w:sz w:val="24"/>
                <w:szCs w:val="24"/>
              </w:rPr>
            </w:pPr>
            <w:r>
              <w:rPr>
                <w:rFonts w:hint="eastAsia"/>
                <w:b/>
                <w:bCs/>
                <w:color w:val="000000"/>
                <w:sz w:val="24"/>
                <w:szCs w:val="24"/>
              </w:rPr>
              <w:t>基本功</w:t>
            </w:r>
          </w:p>
          <w:p>
            <w:pPr>
              <w:pStyle w:val="36"/>
              <w:ind w:left="31" w:leftChars="15" w:firstLine="53" w:firstLineChars="19"/>
              <w:rPr>
                <w:b/>
                <w:bCs/>
                <w:color w:val="000000"/>
                <w:sz w:val="24"/>
                <w:szCs w:val="24"/>
              </w:rPr>
            </w:pPr>
            <w:r>
              <w:rPr>
                <w:rFonts w:hint="eastAsia"/>
                <w:b/>
                <w:bCs/>
                <w:color w:val="000000"/>
                <w:sz w:val="24"/>
                <w:szCs w:val="24"/>
              </w:rPr>
              <w:t>训练房</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20</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10/间</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多媒体、</w:t>
            </w:r>
          </w:p>
          <w:p>
            <w:pPr>
              <w:jc w:val="center"/>
              <w:rPr>
                <w:rFonts w:ascii="宋体" w:hAnsi="宋体" w:eastAsia="宋体"/>
                <w:color w:val="000000"/>
                <w:sz w:val="24"/>
                <w:szCs w:val="24"/>
              </w:rPr>
            </w:pPr>
            <w:r>
              <w:rPr>
                <w:rFonts w:hint="eastAsia" w:ascii="宋体" w:hAnsi="宋体" w:eastAsia="宋体"/>
                <w:color w:val="000000"/>
                <w:sz w:val="24"/>
                <w:szCs w:val="24"/>
              </w:rPr>
              <w:t>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6"/>
              <w:ind w:left="31" w:leftChars="15" w:firstLine="53" w:firstLineChars="19"/>
              <w:rPr>
                <w:b/>
                <w:bCs/>
                <w:color w:val="000000"/>
                <w:sz w:val="24"/>
                <w:szCs w:val="24"/>
              </w:rPr>
            </w:pPr>
            <w:r>
              <w:rPr>
                <w:rFonts w:hint="eastAsia"/>
                <w:b/>
                <w:bCs/>
                <w:color w:val="000000"/>
                <w:sz w:val="24"/>
                <w:szCs w:val="24"/>
              </w:rPr>
              <w:t>唱念</w:t>
            </w:r>
          </w:p>
          <w:p>
            <w:pPr>
              <w:pStyle w:val="36"/>
              <w:ind w:left="31" w:leftChars="15" w:firstLine="53" w:firstLineChars="19"/>
              <w:rPr>
                <w:b/>
                <w:bCs/>
                <w:color w:val="000000"/>
                <w:sz w:val="24"/>
                <w:szCs w:val="24"/>
              </w:rPr>
            </w:pPr>
            <w:r>
              <w:rPr>
                <w:rFonts w:hint="eastAsia"/>
                <w:b/>
                <w:bCs/>
                <w:color w:val="000000"/>
                <w:sz w:val="24"/>
                <w:szCs w:val="24"/>
              </w:rPr>
              <w:t>教室</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20</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10/间</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多媒体、</w:t>
            </w:r>
          </w:p>
          <w:p>
            <w:pPr>
              <w:jc w:val="center"/>
              <w:rPr>
                <w:rFonts w:ascii="宋体" w:hAnsi="宋体" w:eastAsia="宋体"/>
                <w:color w:val="000000"/>
                <w:sz w:val="24"/>
                <w:szCs w:val="24"/>
              </w:rPr>
            </w:pPr>
            <w:r>
              <w:rPr>
                <w:rFonts w:hint="eastAsia" w:ascii="宋体" w:hAnsi="宋体" w:eastAsia="宋体"/>
                <w:color w:val="000000"/>
                <w:sz w:val="24"/>
                <w:szCs w:val="24"/>
              </w:rPr>
              <w:t>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60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318" w:type="dxa"/>
            <w:vAlign w:val="center"/>
          </w:tcPr>
          <w:p>
            <w:pPr>
              <w:pStyle w:val="36"/>
              <w:ind w:left="31" w:leftChars="15" w:firstLine="53" w:firstLineChars="19"/>
              <w:rPr>
                <w:rFonts w:hint="eastAsia"/>
                <w:b/>
                <w:bCs/>
                <w:color w:val="000000"/>
                <w:sz w:val="24"/>
                <w:szCs w:val="24"/>
              </w:rPr>
            </w:pPr>
            <w:r>
              <w:rPr>
                <w:rFonts w:hint="eastAsia"/>
                <w:b/>
                <w:bCs/>
                <w:color w:val="000000"/>
                <w:sz w:val="24"/>
                <w:szCs w:val="24"/>
              </w:rPr>
              <w:t>实验</w:t>
            </w:r>
          </w:p>
          <w:p>
            <w:pPr>
              <w:pStyle w:val="36"/>
              <w:ind w:left="31" w:leftChars="15" w:firstLine="53" w:firstLineChars="19"/>
              <w:rPr>
                <w:b/>
                <w:bCs/>
                <w:color w:val="000000"/>
                <w:sz w:val="24"/>
                <w:szCs w:val="24"/>
              </w:rPr>
            </w:pPr>
            <w:r>
              <w:rPr>
                <w:rFonts w:hint="eastAsia"/>
                <w:b/>
                <w:bCs/>
                <w:color w:val="000000"/>
                <w:sz w:val="24"/>
                <w:szCs w:val="24"/>
              </w:rPr>
              <w:t>舞台</w:t>
            </w:r>
          </w:p>
        </w:tc>
        <w:tc>
          <w:tcPr>
            <w:tcW w:w="1318"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p>
        </w:tc>
        <w:tc>
          <w:tcPr>
            <w:tcW w:w="1319" w:type="dxa"/>
            <w:vAlign w:val="center"/>
          </w:tcPr>
          <w:p>
            <w:pPr>
              <w:jc w:val="center"/>
              <w:rPr>
                <w:rFonts w:ascii="宋体" w:hAnsi="宋体" w:eastAsia="宋体"/>
                <w:b/>
                <w:color w:val="000000"/>
                <w:sz w:val="24"/>
                <w:szCs w:val="24"/>
              </w:rPr>
            </w:pP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灯光、音响</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1</w:t>
            </w:r>
          </w:p>
        </w:tc>
        <w:tc>
          <w:tcPr>
            <w:tcW w:w="1319" w:type="dxa"/>
            <w:vAlign w:val="center"/>
          </w:tcPr>
          <w:p>
            <w:pPr>
              <w:jc w:val="center"/>
              <w:rPr>
                <w:rFonts w:ascii="宋体" w:hAnsi="宋体" w:eastAsia="宋体"/>
                <w:color w:val="000000"/>
                <w:sz w:val="24"/>
                <w:szCs w:val="24"/>
              </w:rPr>
            </w:pPr>
            <w:r>
              <w:rPr>
                <w:rFonts w:hint="eastAsia" w:ascii="宋体" w:hAnsi="宋体" w:eastAsia="宋体"/>
                <w:color w:val="000000"/>
                <w:sz w:val="24"/>
                <w:szCs w:val="24"/>
              </w:rPr>
              <w:t>800</w:t>
            </w:r>
          </w:p>
        </w:tc>
      </w:tr>
    </w:tbl>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（三）教学资源</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学校规范、合理使用课程教学资源，必修课中的课程教材原则上使用适合较有地方戏曲特点的课程教材。鼓励专业教师根据地方实际编写地方特色选修课教材。</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（四）教学方法</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积极探索中等职业教育教学方式的变革与创新，注重实践性教学，实现专业理论教学与专业技能实训的有机融合。</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（五）学习评价</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采用灵活多样的评价方式，注重过程性评价和终结性评价相结合，可采用理论考试、现场操作、成果演示、作品评价等多元考核方法。</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（六）质量管理</w:t>
      </w:r>
    </w:p>
    <w:p>
      <w:pPr>
        <w:spacing w:line="440" w:lineRule="exact"/>
        <w:ind w:firstLine="560" w:firstLineChars="200"/>
        <w:jc w:val="left"/>
        <w:outlineLvl w:val="0"/>
        <w:rPr>
          <w:rFonts w:hint="eastAsia" w:ascii="宋体" w:hAnsi="宋体" w:eastAsia="宋体" w:cs="黑体"/>
          <w:color w:val="000000"/>
          <w:sz w:val="28"/>
          <w:szCs w:val="28"/>
        </w:rPr>
      </w:pPr>
      <w:r>
        <w:rPr>
          <w:rFonts w:hint="eastAsia" w:ascii="宋体" w:hAnsi="宋体" w:eastAsia="宋体" w:cs="黑体"/>
          <w:color w:val="000000"/>
          <w:sz w:val="28"/>
          <w:szCs w:val="28"/>
        </w:rPr>
        <w:t>教师按照教学进程，要求学生参加相关课程的学习与实践，并通过考核控制教育教学质量。</w:t>
      </w:r>
    </w:p>
    <w:p>
      <w:pPr>
        <w:spacing w:before="156" w:beforeLines="50" w:after="156" w:afterLines="50" w:line="440" w:lineRule="exact"/>
        <w:ind w:firstLine="562" w:firstLineChars="200"/>
        <w:jc w:val="left"/>
        <w:outlineLvl w:val="0"/>
        <w:rPr>
          <w:rFonts w:ascii="Calibri" w:hAnsi="Calibri" w:eastAsia="黑体" w:cs="黑体"/>
          <w:b/>
          <w:bCs/>
          <w:color w:val="000000"/>
          <w:sz w:val="28"/>
          <w:szCs w:val="28"/>
        </w:rPr>
      </w:pPr>
      <w:r>
        <w:rPr>
          <w:rFonts w:hint="eastAsia" w:ascii="Calibri" w:hAnsi="Calibri" w:eastAsia="黑体" w:cs="黑体"/>
          <w:b/>
          <w:bCs/>
          <w:color w:val="000000"/>
          <w:sz w:val="28"/>
          <w:szCs w:val="28"/>
        </w:rPr>
        <w:t>九、毕业要求</w:t>
      </w:r>
    </w:p>
    <w:p>
      <w:pPr>
        <w:spacing w:line="440" w:lineRule="exact"/>
        <w:ind w:firstLine="560" w:firstLineChars="200"/>
        <w:jc w:val="left"/>
        <w:outlineLvl w:val="0"/>
        <w:rPr>
          <w:rFonts w:ascii="宋体" w:hAnsi="宋体" w:eastAsia="宋体" w:cs="黑体"/>
          <w:color w:val="000000"/>
          <w:sz w:val="28"/>
          <w:szCs w:val="28"/>
        </w:rPr>
      </w:pPr>
      <w:r>
        <w:rPr>
          <w:rFonts w:hint="eastAsia" w:ascii="宋体" w:hAnsi="宋体" w:eastAsia="宋体" w:cs="黑体"/>
          <w:color w:val="000000"/>
          <w:sz w:val="28"/>
          <w:szCs w:val="28"/>
        </w:rPr>
        <w:t>学生通过三年的学习，必须修满本专业人才培养方案所规定的学时学分，完成规定的教学活动，达到毕业时应具备的素质、知识和能力要求方可毕业。</w:t>
      </w:r>
    </w:p>
    <w:p>
      <w:pPr>
        <w:spacing w:line="440" w:lineRule="exact"/>
        <w:ind w:firstLine="560" w:firstLineChars="200"/>
        <w:jc w:val="left"/>
        <w:outlineLvl w:val="0"/>
        <w:rPr>
          <w:rFonts w:ascii="宋体" w:hAnsi="宋体" w:eastAsia="宋体" w:cs="黑体"/>
          <w:color w:val="000000"/>
          <w:sz w:val="28"/>
          <w:szCs w:val="28"/>
        </w:rPr>
      </w:pPr>
    </w:p>
    <w:p>
      <w:pPr>
        <w:spacing w:line="440" w:lineRule="exact"/>
        <w:ind w:firstLine="560" w:firstLineChars="200"/>
        <w:jc w:val="left"/>
        <w:outlineLvl w:val="0"/>
        <w:rPr>
          <w:rFonts w:ascii="宋体" w:hAnsi="宋体" w:eastAsia="宋体" w:cs="黑体"/>
          <w:color w:val="000000"/>
          <w:sz w:val="28"/>
          <w:szCs w:val="28"/>
        </w:rPr>
      </w:pPr>
    </w:p>
    <w:sectPr>
      <w:headerReference r:id="rId3" w:type="default"/>
      <w:footerReference r:id="rId4" w:type="even"/>
      <w:pgSz w:w="11907" w:h="25515"/>
      <w:pgMar w:top="1418"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方正小标宋简体">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Fonts w:cs="黑体"/>
      </w:rPr>
    </w:pPr>
    <w:r>
      <w:fldChar w:fldCharType="begin"/>
    </w:r>
    <w:r>
      <w:rPr>
        <w:rStyle w:val="15"/>
        <w:rFonts w:cs="黑体"/>
      </w:rPr>
      <w:instrText xml:space="preserve">PAGE  </w:instrTex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D095C"/>
    <w:rsid w:val="00071063"/>
    <w:rsid w:val="00095178"/>
    <w:rsid w:val="000956CD"/>
    <w:rsid w:val="000D4873"/>
    <w:rsid w:val="00141F5B"/>
    <w:rsid w:val="001D6DCF"/>
    <w:rsid w:val="001F37AA"/>
    <w:rsid w:val="00211B83"/>
    <w:rsid w:val="00240074"/>
    <w:rsid w:val="002C09AC"/>
    <w:rsid w:val="002D095C"/>
    <w:rsid w:val="00302A51"/>
    <w:rsid w:val="00302D8D"/>
    <w:rsid w:val="00310961"/>
    <w:rsid w:val="00342026"/>
    <w:rsid w:val="00387799"/>
    <w:rsid w:val="003F016C"/>
    <w:rsid w:val="00436D5C"/>
    <w:rsid w:val="004C0034"/>
    <w:rsid w:val="0055335E"/>
    <w:rsid w:val="005A331B"/>
    <w:rsid w:val="005C03BC"/>
    <w:rsid w:val="00624F42"/>
    <w:rsid w:val="00660715"/>
    <w:rsid w:val="006C00CC"/>
    <w:rsid w:val="006C05F4"/>
    <w:rsid w:val="006C1DAD"/>
    <w:rsid w:val="006C6038"/>
    <w:rsid w:val="007257EC"/>
    <w:rsid w:val="007D2F88"/>
    <w:rsid w:val="008C7709"/>
    <w:rsid w:val="00910217"/>
    <w:rsid w:val="009C33AE"/>
    <w:rsid w:val="00C80116"/>
    <w:rsid w:val="00C90349"/>
    <w:rsid w:val="00CC4136"/>
    <w:rsid w:val="00CF57C5"/>
    <w:rsid w:val="00D23045"/>
    <w:rsid w:val="00D41BBA"/>
    <w:rsid w:val="00D82B22"/>
    <w:rsid w:val="00DB678A"/>
    <w:rsid w:val="00E8408D"/>
    <w:rsid w:val="00EC5976"/>
    <w:rsid w:val="00F042D5"/>
    <w:rsid w:val="00F07971"/>
    <w:rsid w:val="00FB63B6"/>
    <w:rsid w:val="28843735"/>
    <w:rsid w:val="3249676E"/>
    <w:rsid w:val="510B5C2F"/>
    <w:rsid w:val="5A8827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13">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1"/>
    <w:qFormat/>
    <w:uiPriority w:val="0"/>
    <w:pPr>
      <w:jc w:val="left"/>
    </w:pPr>
    <w:rPr>
      <w:rFonts w:ascii="Calibri" w:hAnsi="Calibri" w:eastAsia="宋体"/>
      <w:kern w:val="0"/>
      <w:sz w:val="20"/>
      <w:szCs w:val="21"/>
    </w:rPr>
  </w:style>
  <w:style w:type="paragraph" w:styleId="3">
    <w:name w:val="Body Text Indent"/>
    <w:basedOn w:val="1"/>
    <w:link w:val="39"/>
    <w:qFormat/>
    <w:uiPriority w:val="0"/>
    <w:pPr>
      <w:spacing w:after="120"/>
      <w:ind w:left="420" w:leftChars="200"/>
    </w:pPr>
    <w:rPr>
      <w:rFonts w:ascii="Times New Roman" w:hAnsi="Times New Roman" w:eastAsia="宋体"/>
      <w:szCs w:val="24"/>
    </w:rPr>
  </w:style>
  <w:style w:type="paragraph" w:styleId="4">
    <w:name w:val="Plain Text"/>
    <w:basedOn w:val="1"/>
    <w:link w:val="45"/>
    <w:qFormat/>
    <w:uiPriority w:val="0"/>
    <w:rPr>
      <w:rFonts w:ascii="宋体" w:hAnsi="Courier New" w:eastAsia="宋体"/>
      <w:szCs w:val="20"/>
    </w:rPr>
  </w:style>
  <w:style w:type="paragraph" w:styleId="5">
    <w:name w:val="Date"/>
    <w:basedOn w:val="1"/>
    <w:next w:val="1"/>
    <w:link w:val="44"/>
    <w:qFormat/>
    <w:uiPriority w:val="0"/>
    <w:rPr>
      <w:rFonts w:ascii="Times New Roman" w:hAnsi="Times New Roman" w:eastAsia="宋体"/>
      <w:szCs w:val="20"/>
    </w:rPr>
  </w:style>
  <w:style w:type="paragraph" w:styleId="6">
    <w:name w:val="Body Text Indent 2"/>
    <w:basedOn w:val="1"/>
    <w:link w:val="41"/>
    <w:qFormat/>
    <w:uiPriority w:val="0"/>
    <w:pPr>
      <w:spacing w:after="120" w:line="480" w:lineRule="auto"/>
      <w:ind w:left="420" w:leftChars="200"/>
    </w:pPr>
    <w:rPr>
      <w:rFonts w:ascii="Times New Roman" w:hAnsi="Times New Roman" w:eastAsia="宋体"/>
      <w:szCs w:val="24"/>
    </w:rPr>
  </w:style>
  <w:style w:type="paragraph" w:styleId="7">
    <w:name w:val="Balloon Text"/>
    <w:basedOn w:val="1"/>
    <w:link w:val="22"/>
    <w:semiHidden/>
    <w:qFormat/>
    <w:uiPriority w:val="99"/>
    <w:pPr>
      <w:jc w:val="left"/>
    </w:pPr>
    <w:rPr>
      <w:rFonts w:asciiTheme="minorHAnsi" w:hAnsiTheme="minorHAnsi" w:eastAsiaTheme="minorEastAsia" w:cstheme="minorBidi"/>
      <w:sz w:val="18"/>
      <w:szCs w:val="18"/>
    </w:rPr>
  </w:style>
  <w:style w:type="paragraph" w:styleId="8">
    <w:name w:val="footer"/>
    <w:basedOn w:val="1"/>
    <w:link w:val="21"/>
    <w:unhideWhenUsed/>
    <w:uiPriority w:val="0"/>
    <w:pPr>
      <w:tabs>
        <w:tab w:val="center" w:pos="4153"/>
        <w:tab w:val="right" w:pos="8306"/>
      </w:tabs>
      <w:snapToGrid w:val="0"/>
      <w:jc w:val="left"/>
    </w:pPr>
    <w:rPr>
      <w:kern w:val="0"/>
      <w:sz w:val="18"/>
      <w:szCs w:val="18"/>
    </w:rPr>
  </w:style>
  <w:style w:type="paragraph" w:styleId="9">
    <w:name w:val="header"/>
    <w:basedOn w:val="1"/>
    <w:link w:val="19"/>
    <w:unhideWhenUsed/>
    <w:uiPriority w:val="0"/>
    <w:pPr>
      <w:pBdr>
        <w:bottom w:val="single" w:color="auto" w:sz="6" w:space="1"/>
      </w:pBdr>
      <w:tabs>
        <w:tab w:val="center" w:pos="4153"/>
        <w:tab w:val="right" w:pos="8306"/>
      </w:tabs>
      <w:snapToGrid w:val="0"/>
      <w:jc w:val="center"/>
    </w:pPr>
    <w:rPr>
      <w:kern w:val="0"/>
      <w:sz w:val="18"/>
      <w:szCs w:val="18"/>
    </w:rPr>
  </w:style>
  <w:style w:type="paragraph" w:styleId="10">
    <w:name w:val="annotation subject"/>
    <w:basedOn w:val="2"/>
    <w:next w:val="2"/>
    <w:link w:val="34"/>
    <w:qFormat/>
    <w:uiPriority w:val="0"/>
    <w:rPr>
      <w:b/>
      <w:bCs/>
    </w:rPr>
  </w:style>
  <w:style w:type="table" w:styleId="12">
    <w:name w:val="Table Grid"/>
    <w:basedOn w:val="11"/>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4">
    <w:name w:val="Strong"/>
    <w:basedOn w:val="13"/>
    <w:qFormat/>
    <w:uiPriority w:val="0"/>
    <w:rPr>
      <w:b/>
      <w:bCs/>
    </w:rPr>
  </w:style>
  <w:style w:type="character" w:styleId="15">
    <w:name w:val="page number"/>
    <w:uiPriority w:val="0"/>
    <w:rPr>
      <w:rFonts w:cs="Times New Roman"/>
    </w:rPr>
  </w:style>
  <w:style w:type="character" w:styleId="16">
    <w:name w:val="Hyperlink"/>
    <w:semiHidden/>
    <w:unhideWhenUsed/>
    <w:qFormat/>
    <w:uiPriority w:val="99"/>
    <w:rPr>
      <w:color w:val="0000FF"/>
      <w:u w:val="single"/>
    </w:rPr>
  </w:style>
  <w:style w:type="character" w:styleId="17">
    <w:name w:val="annotation reference"/>
    <w:qFormat/>
    <w:uiPriority w:val="0"/>
    <w:rPr>
      <w:sz w:val="21"/>
      <w:szCs w:val="21"/>
    </w:rPr>
  </w:style>
  <w:style w:type="character" w:customStyle="1" w:styleId="18">
    <w:name w:val="页眉 Char"/>
    <w:basedOn w:val="13"/>
    <w:qFormat/>
    <w:uiPriority w:val="99"/>
    <w:rPr>
      <w:rFonts w:ascii="等线" w:hAnsi="等线" w:eastAsia="等线" w:cs="Times New Roman"/>
      <w:sz w:val="18"/>
      <w:szCs w:val="18"/>
    </w:rPr>
  </w:style>
  <w:style w:type="character" w:customStyle="1" w:styleId="19">
    <w:name w:val="页眉 Char1"/>
    <w:link w:val="9"/>
    <w:uiPriority w:val="99"/>
    <w:rPr>
      <w:rFonts w:ascii="等线" w:hAnsi="等线" w:eastAsia="等线" w:cs="Times New Roman"/>
      <w:kern w:val="0"/>
      <w:sz w:val="18"/>
      <w:szCs w:val="18"/>
    </w:rPr>
  </w:style>
  <w:style w:type="character" w:customStyle="1" w:styleId="20">
    <w:name w:val="页脚 Char"/>
    <w:basedOn w:val="13"/>
    <w:uiPriority w:val="99"/>
    <w:rPr>
      <w:rFonts w:ascii="等线" w:hAnsi="等线" w:eastAsia="等线" w:cs="Times New Roman"/>
      <w:sz w:val="18"/>
      <w:szCs w:val="18"/>
    </w:rPr>
  </w:style>
  <w:style w:type="character" w:customStyle="1" w:styleId="21">
    <w:name w:val="页脚 Char1"/>
    <w:link w:val="8"/>
    <w:uiPriority w:val="99"/>
    <w:rPr>
      <w:rFonts w:ascii="等线" w:hAnsi="等线" w:eastAsia="等线" w:cs="Times New Roman"/>
      <w:kern w:val="0"/>
      <w:sz w:val="18"/>
      <w:szCs w:val="18"/>
    </w:rPr>
  </w:style>
  <w:style w:type="character" w:customStyle="1" w:styleId="22">
    <w:name w:val="批注框文本 Char1"/>
    <w:link w:val="7"/>
    <w:semiHidden/>
    <w:locked/>
    <w:uiPriority w:val="99"/>
    <w:rPr>
      <w:sz w:val="18"/>
      <w:szCs w:val="18"/>
    </w:rPr>
  </w:style>
  <w:style w:type="character" w:customStyle="1" w:styleId="23">
    <w:name w:val="Placeholder Text1"/>
    <w:semiHidden/>
    <w:uiPriority w:val="99"/>
    <w:rPr>
      <w:rFonts w:cs="Times New Roman"/>
      <w:color w:val="808080"/>
    </w:rPr>
  </w:style>
  <w:style w:type="character" w:customStyle="1" w:styleId="24">
    <w:name w:val="批注框文本 Char"/>
    <w:basedOn w:val="13"/>
    <w:semiHidden/>
    <w:uiPriority w:val="99"/>
    <w:rPr>
      <w:rFonts w:ascii="等线" w:hAnsi="等线" w:eastAsia="等线" w:cs="Times New Roman"/>
      <w:sz w:val="16"/>
      <w:szCs w:val="16"/>
    </w:rPr>
  </w:style>
  <w:style w:type="character" w:customStyle="1" w:styleId="25">
    <w:name w:val="批注框文本 字符"/>
    <w:semiHidden/>
    <w:uiPriority w:val="99"/>
    <w:rPr>
      <w:sz w:val="18"/>
      <w:szCs w:val="18"/>
    </w:rPr>
  </w:style>
  <w:style w:type="paragraph" w:customStyle="1" w:styleId="26">
    <w:name w:val="Char Char Char Char Char Char Char Char Char Char"/>
    <w:basedOn w:val="1"/>
    <w:qFormat/>
    <w:uiPriority w:val="99"/>
    <w:pPr>
      <w:widowControl/>
      <w:spacing w:after="160" w:line="240" w:lineRule="exact"/>
      <w:jc w:val="left"/>
    </w:pPr>
    <w:rPr>
      <w:rFonts w:ascii="Calibri" w:hAnsi="Calibri" w:eastAsia="宋体" w:cs="黑体"/>
      <w:szCs w:val="21"/>
    </w:rPr>
  </w:style>
  <w:style w:type="paragraph" w:customStyle="1" w:styleId="27">
    <w:name w:val="一级标题"/>
    <w:basedOn w:val="28"/>
    <w:qFormat/>
    <w:uiPriority w:val="99"/>
    <w:pPr>
      <w:outlineLvl w:val="0"/>
    </w:pPr>
    <w:rPr>
      <w:rFonts w:eastAsia="黑体"/>
    </w:rPr>
  </w:style>
  <w:style w:type="paragraph" w:customStyle="1" w:styleId="28">
    <w:name w:val="方案正文"/>
    <w:basedOn w:val="1"/>
    <w:qFormat/>
    <w:uiPriority w:val="99"/>
    <w:pPr>
      <w:spacing w:line="440" w:lineRule="exact"/>
      <w:ind w:firstLine="200" w:firstLineChars="200"/>
      <w:jc w:val="left"/>
    </w:pPr>
    <w:rPr>
      <w:rFonts w:ascii="Calibri" w:hAnsi="Calibri" w:eastAsia="宋体" w:cs="黑体"/>
      <w:sz w:val="24"/>
      <w:szCs w:val="21"/>
    </w:rPr>
  </w:style>
  <w:style w:type="character" w:customStyle="1" w:styleId="29">
    <w:name w:val="批注文字 Char"/>
    <w:basedOn w:val="13"/>
    <w:semiHidden/>
    <w:qFormat/>
    <w:uiPriority w:val="99"/>
    <w:rPr>
      <w:rFonts w:ascii="等线" w:hAnsi="等线" w:eastAsia="等线" w:cs="Times New Roman"/>
    </w:rPr>
  </w:style>
  <w:style w:type="character" w:customStyle="1" w:styleId="30">
    <w:name w:val="批注文字 字符"/>
    <w:basedOn w:val="13"/>
    <w:semiHidden/>
    <w:qFormat/>
    <w:uiPriority w:val="99"/>
  </w:style>
  <w:style w:type="character" w:customStyle="1" w:styleId="31">
    <w:name w:val="批注文字 Char1"/>
    <w:link w:val="2"/>
    <w:qFormat/>
    <w:uiPriority w:val="0"/>
    <w:rPr>
      <w:rFonts w:ascii="Calibri" w:hAnsi="Calibri" w:eastAsia="宋体" w:cs="Times New Roman"/>
      <w:kern w:val="0"/>
      <w:sz w:val="20"/>
      <w:szCs w:val="21"/>
    </w:rPr>
  </w:style>
  <w:style w:type="character" w:customStyle="1" w:styleId="32">
    <w:name w:val="批注主题 Char"/>
    <w:basedOn w:val="29"/>
    <w:semiHidden/>
    <w:qFormat/>
    <w:uiPriority w:val="99"/>
    <w:rPr>
      <w:rFonts w:ascii="等线" w:hAnsi="等线" w:eastAsia="等线" w:cs="Times New Roman"/>
      <w:b/>
      <w:bCs/>
    </w:rPr>
  </w:style>
  <w:style w:type="character" w:customStyle="1" w:styleId="33">
    <w:name w:val="批注主题 字符"/>
    <w:semiHidden/>
    <w:qFormat/>
    <w:uiPriority w:val="99"/>
    <w:rPr>
      <w:b/>
      <w:bCs/>
    </w:rPr>
  </w:style>
  <w:style w:type="character" w:customStyle="1" w:styleId="34">
    <w:name w:val="批注主题 Char1"/>
    <w:link w:val="10"/>
    <w:qFormat/>
    <w:uiPriority w:val="0"/>
    <w:rPr>
      <w:rFonts w:ascii="Calibri" w:hAnsi="Calibri" w:eastAsia="宋体" w:cs="Times New Roman"/>
      <w:b/>
      <w:bCs/>
      <w:kern w:val="0"/>
      <w:sz w:val="20"/>
      <w:szCs w:val="21"/>
    </w:rPr>
  </w:style>
  <w:style w:type="paragraph" w:customStyle="1" w:styleId="35">
    <w:name w:val="Revision"/>
    <w:hidden/>
    <w:semiHidden/>
    <w:qFormat/>
    <w:uiPriority w:val="99"/>
    <w:rPr>
      <w:rFonts w:ascii="Calibri" w:hAnsi="Calibri" w:eastAsia="宋体" w:cs="黑体"/>
      <w:kern w:val="2"/>
      <w:sz w:val="21"/>
      <w:szCs w:val="21"/>
      <w:lang w:val="en-US" w:eastAsia="zh-CN" w:bidi="ar-SA"/>
    </w:rPr>
  </w:style>
  <w:style w:type="paragraph" w:customStyle="1" w:styleId="36">
    <w:name w:val="正文1"/>
    <w:basedOn w:val="1"/>
    <w:qFormat/>
    <w:uiPriority w:val="0"/>
    <w:pPr>
      <w:adjustRightInd w:val="0"/>
      <w:jc w:val="center"/>
    </w:pPr>
    <w:rPr>
      <w:rFonts w:ascii="宋体" w:hAnsi="宋体" w:eastAsia="宋体"/>
      <w:spacing w:val="20"/>
      <w:kern w:val="10"/>
      <w:sz w:val="18"/>
      <w:szCs w:val="18"/>
    </w:rPr>
  </w:style>
  <w:style w:type="paragraph" w:customStyle="1" w:styleId="37">
    <w:name w:val="表标1"/>
    <w:basedOn w:val="36"/>
    <w:qFormat/>
    <w:uiPriority w:val="0"/>
    <w:rPr>
      <w:b/>
    </w:rPr>
  </w:style>
  <w:style w:type="paragraph" w:customStyle="1" w:styleId="38">
    <w:name w:val="正文10"/>
    <w:basedOn w:val="36"/>
    <w:qFormat/>
    <w:uiPriority w:val="0"/>
  </w:style>
  <w:style w:type="character" w:customStyle="1" w:styleId="39">
    <w:name w:val="正文文本缩进 Char"/>
    <w:basedOn w:val="13"/>
    <w:link w:val="3"/>
    <w:qFormat/>
    <w:uiPriority w:val="0"/>
    <w:rPr>
      <w:rFonts w:ascii="Times New Roman" w:hAnsi="Times New Roman" w:eastAsia="宋体" w:cs="Times New Roman"/>
      <w:szCs w:val="24"/>
    </w:rPr>
  </w:style>
  <w:style w:type="paragraph" w:customStyle="1" w:styleId="40">
    <w:name w:val="标题5"/>
    <w:basedOn w:val="1"/>
    <w:qFormat/>
    <w:uiPriority w:val="0"/>
    <w:pPr>
      <w:adjustRightInd w:val="0"/>
      <w:snapToGrid w:val="0"/>
      <w:spacing w:line="310" w:lineRule="atLeast"/>
      <w:ind w:firstLine="425"/>
    </w:pPr>
    <w:rPr>
      <w:rFonts w:ascii="Arial" w:hAnsi="Arial" w:eastAsia="黑体"/>
      <w:szCs w:val="20"/>
    </w:rPr>
  </w:style>
  <w:style w:type="character" w:customStyle="1" w:styleId="41">
    <w:name w:val="正文文本缩进 2 Char"/>
    <w:basedOn w:val="13"/>
    <w:link w:val="6"/>
    <w:qFormat/>
    <w:uiPriority w:val="0"/>
    <w:rPr>
      <w:rFonts w:ascii="Times New Roman" w:hAnsi="Times New Roman" w:eastAsia="宋体" w:cs="Times New Roman"/>
      <w:szCs w:val="24"/>
    </w:rPr>
  </w:style>
  <w:style w:type="paragraph" w:styleId="42">
    <w:name w:val="List Paragraph"/>
    <w:basedOn w:val="1"/>
    <w:qFormat/>
    <w:uiPriority w:val="34"/>
    <w:pPr>
      <w:ind w:firstLine="420" w:firstLineChars="200"/>
    </w:pPr>
    <w:rPr>
      <w:rFonts w:ascii="Calibri" w:hAnsi="Calibri" w:eastAsia="宋体"/>
    </w:rPr>
  </w:style>
  <w:style w:type="paragraph" w:customStyle="1" w:styleId="43">
    <w:name w:val="样式3"/>
    <w:basedOn w:val="1"/>
    <w:qFormat/>
    <w:uiPriority w:val="0"/>
    <w:pPr>
      <w:adjustRightInd w:val="0"/>
      <w:spacing w:line="720" w:lineRule="auto"/>
      <w:jc w:val="center"/>
    </w:pPr>
    <w:rPr>
      <w:rFonts w:ascii="Times New Roman" w:hAnsi="Times New Roman" w:eastAsia="黑体"/>
      <w:sz w:val="28"/>
      <w:szCs w:val="20"/>
    </w:rPr>
  </w:style>
  <w:style w:type="character" w:customStyle="1" w:styleId="44">
    <w:name w:val="日期 Char"/>
    <w:basedOn w:val="13"/>
    <w:link w:val="5"/>
    <w:qFormat/>
    <w:uiPriority w:val="0"/>
    <w:rPr>
      <w:rFonts w:ascii="Times New Roman" w:hAnsi="Times New Roman" w:eastAsia="宋体" w:cs="Times New Roman"/>
      <w:szCs w:val="20"/>
    </w:rPr>
  </w:style>
  <w:style w:type="character" w:customStyle="1" w:styleId="45">
    <w:name w:val="纯文本 Char"/>
    <w:basedOn w:val="13"/>
    <w:link w:val="4"/>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898</Words>
  <Characters>5124</Characters>
  <Lines>42</Lines>
  <Paragraphs>12</Paragraphs>
  <TotalTime>17</TotalTime>
  <ScaleCrop>false</ScaleCrop>
  <LinksUpToDate>false</LinksUpToDate>
  <CharactersWithSpaces>6010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2019-07-25T02:58:00Z</dcterms:created>
  <dc:creator>administrator</dc:creator>
  <cp:lastModifiedBy>LENOVO</cp:lastModifiedBy>
  <dcterms:modified xsi:type="dcterms:W3CDTF">2019-08-24T06:05:23Z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